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郑州新华中等专业学校</w:t>
      </w:r>
    </w:p>
    <w:p>
      <w:pPr>
        <w:spacing w:line="360" w:lineRule="auto"/>
        <w:jc w:val="left"/>
        <w:rPr>
          <w:rFonts w:hint="eastAsia" w:ascii="黑体" w:eastAsia="黑体"/>
          <w:b/>
          <w:sz w:val="44"/>
          <w:szCs w:val="44"/>
        </w:rPr>
      </w:pPr>
    </w:p>
    <w:p>
      <w:pPr>
        <w:spacing w:line="360" w:lineRule="auto"/>
        <w:jc w:val="center"/>
        <w:rPr>
          <w:rFonts w:ascii="黑体" w:eastAsia="黑体"/>
          <w:sz w:val="56"/>
          <w:szCs w:val="44"/>
        </w:rPr>
      </w:pPr>
      <w:r>
        <w:rPr>
          <w:rFonts w:hint="eastAsia" w:ascii="黑体" w:eastAsia="黑体"/>
          <w:sz w:val="56"/>
          <w:szCs w:val="44"/>
        </w:rPr>
        <w:t>会</w:t>
      </w:r>
    </w:p>
    <w:p>
      <w:pPr>
        <w:spacing w:line="360" w:lineRule="auto"/>
        <w:jc w:val="center"/>
        <w:rPr>
          <w:rFonts w:ascii="黑体" w:eastAsia="黑体"/>
          <w:sz w:val="56"/>
          <w:szCs w:val="44"/>
        </w:rPr>
      </w:pPr>
      <w:r>
        <w:rPr>
          <w:rFonts w:hint="eastAsia" w:ascii="黑体" w:eastAsia="黑体"/>
          <w:sz w:val="56"/>
          <w:szCs w:val="44"/>
        </w:rPr>
        <w:t>计</w:t>
      </w:r>
      <w:bookmarkStart w:id="9" w:name="_GoBack"/>
      <w:bookmarkEnd w:id="9"/>
    </w:p>
    <w:p>
      <w:pPr>
        <w:spacing w:line="360" w:lineRule="auto"/>
        <w:jc w:val="center"/>
        <w:rPr>
          <w:rFonts w:ascii="黑体" w:eastAsia="黑体"/>
          <w:sz w:val="56"/>
          <w:szCs w:val="44"/>
        </w:rPr>
      </w:pPr>
      <w:r>
        <w:rPr>
          <w:rFonts w:hint="eastAsia" w:ascii="黑体" w:eastAsia="黑体"/>
          <w:sz w:val="56"/>
          <w:szCs w:val="44"/>
        </w:rPr>
        <w:t>电</w:t>
      </w:r>
    </w:p>
    <w:p>
      <w:pPr>
        <w:spacing w:line="360" w:lineRule="auto"/>
        <w:jc w:val="center"/>
        <w:rPr>
          <w:rFonts w:ascii="黑体" w:eastAsia="黑体"/>
          <w:sz w:val="56"/>
          <w:szCs w:val="44"/>
        </w:rPr>
      </w:pPr>
      <w:r>
        <w:rPr>
          <w:rFonts w:hint="eastAsia" w:ascii="黑体" w:eastAsia="黑体"/>
          <w:sz w:val="56"/>
          <w:szCs w:val="44"/>
        </w:rPr>
        <w:t>算</w:t>
      </w:r>
    </w:p>
    <w:p>
      <w:pPr>
        <w:spacing w:line="360" w:lineRule="auto"/>
        <w:jc w:val="center"/>
        <w:rPr>
          <w:rFonts w:ascii="黑体" w:eastAsia="黑体"/>
          <w:sz w:val="56"/>
          <w:szCs w:val="44"/>
        </w:rPr>
      </w:pPr>
      <w:r>
        <w:rPr>
          <w:rFonts w:hint="eastAsia" w:ascii="黑体" w:eastAsia="黑体"/>
          <w:sz w:val="56"/>
          <w:szCs w:val="44"/>
        </w:rPr>
        <w:t>化</w:t>
      </w:r>
    </w:p>
    <w:p>
      <w:pPr>
        <w:spacing w:line="360" w:lineRule="auto"/>
        <w:jc w:val="center"/>
        <w:rPr>
          <w:rFonts w:ascii="黑体" w:eastAsia="黑体"/>
          <w:sz w:val="56"/>
          <w:szCs w:val="44"/>
        </w:rPr>
      </w:pPr>
      <w:r>
        <w:rPr>
          <w:rFonts w:hint="eastAsia" w:ascii="黑体" w:eastAsia="黑体"/>
          <w:sz w:val="56"/>
          <w:szCs w:val="44"/>
        </w:rPr>
        <w:t>专</w:t>
      </w:r>
    </w:p>
    <w:p>
      <w:pPr>
        <w:spacing w:line="360" w:lineRule="auto"/>
        <w:jc w:val="center"/>
        <w:rPr>
          <w:rFonts w:ascii="黑体" w:eastAsia="黑体"/>
          <w:sz w:val="56"/>
          <w:szCs w:val="44"/>
        </w:rPr>
      </w:pPr>
      <w:r>
        <w:rPr>
          <w:rFonts w:ascii="黑体" w:eastAsia="黑体"/>
          <w:sz w:val="56"/>
          <w:szCs w:val="44"/>
        </w:rPr>
        <w:t>业</w:t>
      </w:r>
    </w:p>
    <w:p>
      <w:pPr>
        <w:spacing w:line="360" w:lineRule="auto"/>
        <w:jc w:val="center"/>
        <w:rPr>
          <w:rFonts w:ascii="黑体" w:eastAsia="黑体"/>
          <w:sz w:val="56"/>
          <w:szCs w:val="44"/>
        </w:rPr>
      </w:pPr>
      <w:r>
        <w:rPr>
          <w:rFonts w:ascii="黑体" w:eastAsia="黑体"/>
          <w:sz w:val="56"/>
          <w:szCs w:val="44"/>
        </w:rPr>
        <w:t>人</w:t>
      </w:r>
    </w:p>
    <w:p>
      <w:pPr>
        <w:spacing w:line="360" w:lineRule="auto"/>
        <w:jc w:val="center"/>
        <w:rPr>
          <w:rFonts w:ascii="黑体" w:eastAsia="黑体"/>
          <w:sz w:val="56"/>
          <w:szCs w:val="44"/>
        </w:rPr>
      </w:pPr>
      <w:r>
        <w:rPr>
          <w:rFonts w:ascii="黑体" w:eastAsia="黑体"/>
          <w:sz w:val="56"/>
          <w:szCs w:val="44"/>
        </w:rPr>
        <w:t>才</w:t>
      </w:r>
    </w:p>
    <w:p>
      <w:pPr>
        <w:spacing w:line="360" w:lineRule="auto"/>
        <w:jc w:val="center"/>
        <w:rPr>
          <w:rFonts w:ascii="黑体" w:eastAsia="黑体"/>
          <w:sz w:val="56"/>
          <w:szCs w:val="44"/>
        </w:rPr>
      </w:pPr>
      <w:r>
        <w:rPr>
          <w:rFonts w:ascii="黑体" w:eastAsia="黑体"/>
          <w:sz w:val="56"/>
          <w:szCs w:val="44"/>
        </w:rPr>
        <w:t>培</w:t>
      </w:r>
    </w:p>
    <w:p>
      <w:pPr>
        <w:spacing w:line="360" w:lineRule="auto"/>
        <w:jc w:val="center"/>
        <w:rPr>
          <w:rFonts w:ascii="黑体" w:eastAsia="黑体"/>
          <w:sz w:val="56"/>
          <w:szCs w:val="44"/>
        </w:rPr>
      </w:pPr>
      <w:r>
        <w:rPr>
          <w:rFonts w:ascii="黑体" w:eastAsia="黑体"/>
          <w:sz w:val="56"/>
          <w:szCs w:val="44"/>
        </w:rPr>
        <w:t>养</w:t>
      </w:r>
    </w:p>
    <w:p>
      <w:pPr>
        <w:spacing w:line="360" w:lineRule="auto"/>
        <w:jc w:val="center"/>
        <w:rPr>
          <w:rFonts w:ascii="黑体" w:eastAsia="黑体"/>
          <w:sz w:val="56"/>
          <w:szCs w:val="44"/>
        </w:rPr>
      </w:pPr>
      <w:r>
        <w:rPr>
          <w:rFonts w:ascii="黑体" w:eastAsia="黑体"/>
          <w:sz w:val="56"/>
          <w:szCs w:val="44"/>
        </w:rPr>
        <w:t>方</w:t>
      </w:r>
    </w:p>
    <w:p>
      <w:pPr>
        <w:spacing w:line="360" w:lineRule="auto"/>
        <w:jc w:val="center"/>
        <w:rPr>
          <w:rFonts w:ascii="黑体" w:eastAsia="黑体"/>
          <w:sz w:val="56"/>
          <w:szCs w:val="44"/>
        </w:rPr>
      </w:pPr>
      <w:r>
        <w:rPr>
          <w:rFonts w:ascii="黑体" w:eastAsia="黑体"/>
          <w:sz w:val="56"/>
          <w:szCs w:val="44"/>
        </w:rPr>
        <w:t>案</w:t>
      </w:r>
    </w:p>
    <w:p>
      <w:pPr>
        <w:pStyle w:val="10"/>
        <w:spacing w:before="120" w:after="120" w:line="360" w:lineRule="auto"/>
      </w:pPr>
      <w:bookmarkStart w:id="0" w:name="_Toc308094591"/>
      <w:bookmarkStart w:id="1" w:name="_Toc307923180"/>
      <w:r>
        <w:rPr>
          <w:rFonts w:hint="eastAsia"/>
        </w:rPr>
        <w:t>会计电算化专业人才培养方案</w:t>
      </w:r>
      <w:bookmarkEnd w:id="0"/>
      <w:bookmarkEnd w:id="1"/>
      <w:bookmarkStart w:id="2" w:name="_Toc307923181"/>
      <w:bookmarkStart w:id="3" w:name="_Toc307894520"/>
      <w:bookmarkStart w:id="4" w:name="_Toc308094592"/>
    </w:p>
    <w:bookmarkEnd w:id="2"/>
    <w:bookmarkEnd w:id="3"/>
    <w:bookmarkEnd w:id="4"/>
    <w:p>
      <w:pPr>
        <w:overflowPunct w:val="0"/>
        <w:rPr>
          <w:rFonts w:ascii="黑体" w:hAnsi="黑体" w:eastAsia="黑体"/>
          <w:b/>
          <w:sz w:val="28"/>
          <w:szCs w:val="30"/>
        </w:rPr>
      </w:pPr>
      <w:r>
        <w:rPr>
          <w:rFonts w:hint="eastAsia" w:ascii="黑体" w:hAnsi="黑体" w:eastAsia="黑体"/>
          <w:b/>
          <w:sz w:val="28"/>
          <w:szCs w:val="30"/>
        </w:rPr>
        <w:t>一、专业名称及代码</w:t>
      </w:r>
    </w:p>
    <w:p>
      <w:pPr>
        <w:pStyle w:val="25"/>
        <w:spacing w:line="360" w:lineRule="auto"/>
        <w:ind w:firstLine="480"/>
        <w:jc w:val="left"/>
        <w:rPr>
          <w:rFonts w:hAnsi="宋体"/>
        </w:rPr>
      </w:pPr>
      <w:r>
        <w:rPr>
          <w:rFonts w:hint="eastAsia" w:hAnsi="宋体"/>
        </w:rPr>
        <w:t>专业名称：会计电算化</w:t>
      </w:r>
    </w:p>
    <w:p>
      <w:pPr>
        <w:pStyle w:val="25"/>
        <w:spacing w:line="360" w:lineRule="auto"/>
        <w:ind w:firstLine="480"/>
        <w:jc w:val="left"/>
        <w:rPr>
          <w:rFonts w:hAnsi="宋体"/>
        </w:rPr>
      </w:pPr>
      <w:r>
        <w:rPr>
          <w:rFonts w:hint="eastAsia" w:hAnsi="宋体"/>
        </w:rPr>
        <w:t>专业代码：</w:t>
      </w:r>
      <w:r>
        <w:rPr>
          <w:rFonts w:hAnsi="宋体"/>
        </w:rPr>
        <w:t>120200</w:t>
      </w:r>
    </w:p>
    <w:p>
      <w:pPr>
        <w:overflowPunct w:val="0"/>
        <w:rPr>
          <w:rFonts w:ascii="黑体" w:hAnsi="黑体" w:eastAsia="黑体"/>
          <w:b/>
          <w:sz w:val="28"/>
          <w:szCs w:val="30"/>
        </w:rPr>
      </w:pPr>
      <w:r>
        <w:rPr>
          <w:rFonts w:hint="eastAsia" w:ascii="黑体" w:hAnsi="黑体" w:eastAsia="黑体"/>
          <w:b/>
          <w:sz w:val="28"/>
          <w:szCs w:val="30"/>
        </w:rPr>
        <w:t>二、入学要求</w:t>
      </w:r>
    </w:p>
    <w:p>
      <w:pPr>
        <w:pStyle w:val="25"/>
        <w:spacing w:line="360" w:lineRule="auto"/>
        <w:ind w:firstLine="480"/>
        <w:jc w:val="left"/>
        <w:rPr>
          <w:rFonts w:hAnsi="宋体"/>
        </w:rPr>
      </w:pPr>
      <w:r>
        <w:rPr>
          <w:rFonts w:hint="eastAsia" w:hAnsi="宋体"/>
        </w:rPr>
        <w:t>招生对象为初中毕业生或具有同等学力者</w:t>
      </w:r>
    </w:p>
    <w:p>
      <w:pPr>
        <w:overflowPunct w:val="0"/>
        <w:rPr>
          <w:rFonts w:ascii="黑体" w:hAnsi="黑体" w:eastAsia="黑体"/>
          <w:b/>
          <w:sz w:val="28"/>
          <w:szCs w:val="30"/>
        </w:rPr>
      </w:pPr>
      <w:r>
        <w:rPr>
          <w:rFonts w:hint="eastAsia" w:ascii="黑体" w:hAnsi="黑体" w:eastAsia="黑体"/>
          <w:b/>
          <w:sz w:val="28"/>
          <w:szCs w:val="30"/>
        </w:rPr>
        <w:t>三、修业年限</w:t>
      </w:r>
    </w:p>
    <w:p>
      <w:pPr>
        <w:pStyle w:val="25"/>
        <w:spacing w:line="360" w:lineRule="auto"/>
        <w:ind w:firstLine="480"/>
        <w:jc w:val="left"/>
        <w:rPr>
          <w:rFonts w:hAnsi="宋体"/>
        </w:rPr>
      </w:pPr>
      <w:r>
        <w:rPr>
          <w:rFonts w:hint="eastAsia" w:hAnsi="宋体"/>
        </w:rPr>
        <w:t>三年</w:t>
      </w:r>
    </w:p>
    <w:p>
      <w:pPr>
        <w:overflowPunct w:val="0"/>
        <w:rPr>
          <w:rFonts w:ascii="黑体" w:hAnsi="黑体" w:eastAsia="黑体"/>
          <w:b/>
          <w:sz w:val="28"/>
          <w:szCs w:val="30"/>
        </w:rPr>
      </w:pPr>
      <w:r>
        <w:rPr>
          <w:rFonts w:hint="eastAsia" w:ascii="黑体" w:hAnsi="黑体" w:eastAsia="黑体"/>
          <w:b/>
          <w:sz w:val="28"/>
          <w:szCs w:val="30"/>
        </w:rPr>
        <w:t>四、职业面向</w:t>
      </w:r>
    </w:p>
    <w:tbl>
      <w:tblPr>
        <w:tblStyle w:val="11"/>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099"/>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序号</w:t>
            </w:r>
          </w:p>
        </w:tc>
        <w:tc>
          <w:tcPr>
            <w:tcW w:w="4099"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主要就</w:t>
            </w:r>
            <w:r>
              <w:rPr>
                <w:rFonts w:ascii="仿宋" w:hAnsi="仿宋" w:eastAsia="仿宋"/>
                <w:b/>
                <w:color w:val="000000"/>
                <w:sz w:val="24"/>
              </w:rPr>
              <w:t>业</w:t>
            </w:r>
            <w:r>
              <w:rPr>
                <w:rFonts w:hint="eastAsia" w:ascii="仿宋" w:hAnsi="仿宋" w:eastAsia="仿宋"/>
                <w:b/>
                <w:color w:val="000000"/>
                <w:sz w:val="24"/>
              </w:rPr>
              <w:t>岗位</w:t>
            </w:r>
          </w:p>
        </w:tc>
        <w:tc>
          <w:tcPr>
            <w:tcW w:w="3923"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4099"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出</w:t>
            </w:r>
            <w:r>
              <w:rPr>
                <w:rFonts w:ascii="仿宋" w:hAnsi="仿宋" w:eastAsia="仿宋"/>
                <w:color w:val="000000"/>
                <w:sz w:val="24"/>
              </w:rPr>
              <w:t>纳员</w:t>
            </w:r>
          </w:p>
        </w:tc>
        <w:tc>
          <w:tcPr>
            <w:tcW w:w="3923" w:type="dxa"/>
            <w:vMerge w:val="restart"/>
            <w:vAlign w:val="center"/>
          </w:tcPr>
          <w:p>
            <w:pPr>
              <w:rPr>
                <w:rFonts w:ascii="仿宋" w:hAnsi="仿宋" w:eastAsia="仿宋"/>
                <w:sz w:val="24"/>
              </w:rPr>
            </w:pPr>
            <w:r>
              <w:rPr>
                <w:rFonts w:hint="eastAsia" w:ascii="仿宋" w:hAnsi="仿宋" w:eastAsia="仿宋"/>
                <w:sz w:val="24"/>
              </w:rPr>
              <w:t>职业资格证</w:t>
            </w:r>
          </w:p>
          <w:p>
            <w:pPr>
              <w:rPr>
                <w:rFonts w:ascii="仿宋" w:hAnsi="仿宋" w:eastAsia="仿宋"/>
                <w:sz w:val="24"/>
              </w:rPr>
            </w:pPr>
            <w:r>
              <w:rPr>
                <w:rFonts w:hint="eastAsia" w:ascii="仿宋" w:hAnsi="仿宋" w:eastAsia="仿宋"/>
                <w:sz w:val="24"/>
              </w:rPr>
              <w:t>初级会计证</w:t>
            </w:r>
          </w:p>
          <w:p>
            <w:pPr>
              <w:rPr>
                <w:rFonts w:ascii="仿宋" w:hAnsi="仿宋" w:eastAsia="仿宋"/>
                <w:sz w:val="24"/>
              </w:rPr>
            </w:pPr>
            <w:r>
              <w:rPr>
                <w:rFonts w:hint="eastAsia" w:ascii="仿宋" w:hAnsi="仿宋" w:eastAsia="仿宋"/>
                <w:sz w:val="24"/>
              </w:rPr>
              <w:t>普通话水平测试等级证</w:t>
            </w:r>
          </w:p>
          <w:p>
            <w:pPr>
              <w:rPr>
                <w:rFonts w:ascii="仿宋" w:hAnsi="仿宋" w:eastAsia="仿宋"/>
                <w:sz w:val="24"/>
              </w:rPr>
            </w:pPr>
            <w:r>
              <w:rPr>
                <w:rFonts w:hint="eastAsia" w:ascii="仿宋" w:hAnsi="仿宋" w:eastAsia="仿宋"/>
                <w:sz w:val="24"/>
              </w:rPr>
              <w:t>计算机操作员证书</w:t>
            </w:r>
          </w:p>
          <w:p>
            <w:pPr>
              <w:rPr>
                <w:rFonts w:ascii="仿宋" w:hAnsi="仿宋" w:eastAsia="仿宋"/>
                <w:sz w:val="24"/>
              </w:rPr>
            </w:pPr>
            <w:r>
              <w:rPr>
                <w:rFonts w:hint="eastAsia" w:ascii="仿宋" w:hAnsi="仿宋" w:eastAsia="仿宋"/>
                <w:sz w:val="24"/>
              </w:rPr>
              <w:t>互联网财务管理师</w:t>
            </w:r>
          </w:p>
          <w:p>
            <w:pPr>
              <w:rPr>
                <w:rFonts w:ascii="仿宋" w:hAnsi="仿宋" w:eastAsia="仿宋"/>
                <w:sz w:val="24"/>
              </w:rPr>
            </w:pPr>
            <w:r>
              <w:rPr>
                <w:rFonts w:hint="eastAsia" w:ascii="仿宋" w:hAnsi="仿宋" w:eastAsia="仿宋"/>
                <w:sz w:val="24"/>
              </w:rPr>
              <w:t>电子商务客户服务咨询师</w:t>
            </w:r>
          </w:p>
          <w:p>
            <w:pPr>
              <w:rPr>
                <w:rFonts w:ascii="仿宋" w:hAnsi="仿宋" w:eastAsia="仿宋"/>
                <w:sz w:val="24"/>
              </w:rPr>
            </w:pPr>
            <w:r>
              <w:rPr>
                <w:rFonts w:hint="eastAsia" w:ascii="仿宋" w:hAnsi="仿宋" w:eastAsia="仿宋"/>
                <w:sz w:val="24"/>
              </w:rPr>
              <w:t>平面设计师</w:t>
            </w:r>
          </w:p>
          <w:p>
            <w:pPr>
              <w:rPr>
                <w:rFonts w:ascii="仿宋" w:hAnsi="仿宋" w:eastAsia="仿宋"/>
                <w:sz w:val="24"/>
              </w:rPr>
            </w:pPr>
            <w:r>
              <w:rPr>
                <w:rFonts w:hint="eastAsia" w:ascii="仿宋" w:hAnsi="仿宋" w:eastAsia="仿宋"/>
                <w:sz w:val="24"/>
              </w:rPr>
              <w:t>网店运营师</w:t>
            </w:r>
          </w:p>
          <w:p>
            <w:pPr>
              <w:rPr>
                <w:rFonts w:ascii="仿宋" w:hAnsi="仿宋" w:eastAsia="仿宋"/>
                <w:sz w:val="24"/>
              </w:rPr>
            </w:pPr>
            <w:r>
              <w:rPr>
                <w:rFonts w:hint="eastAsia" w:ascii="仿宋" w:hAnsi="仿宋" w:eastAsia="仿宋"/>
                <w:sz w:val="24"/>
              </w:rPr>
              <w:t>网络营销师</w:t>
            </w:r>
          </w:p>
          <w:p>
            <w:pPr>
              <w:rPr>
                <w:rFonts w:ascii="仿宋" w:hAnsi="仿宋" w:eastAsia="仿宋"/>
                <w:sz w:val="24"/>
              </w:rPr>
            </w:pPr>
            <w:r>
              <w:rPr>
                <w:rFonts w:hint="eastAsia" w:ascii="仿宋" w:hAnsi="仿宋" w:eastAsia="仿宋"/>
                <w:sz w:val="24"/>
              </w:rPr>
              <w:t>电子商务支付管理师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2</w:t>
            </w:r>
          </w:p>
        </w:tc>
        <w:tc>
          <w:tcPr>
            <w:tcW w:w="4099"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会</w:t>
            </w:r>
            <w:r>
              <w:rPr>
                <w:rFonts w:ascii="仿宋" w:hAnsi="仿宋" w:eastAsia="仿宋"/>
                <w:color w:val="000000"/>
                <w:sz w:val="24"/>
              </w:rPr>
              <w:t>计核算员</w:t>
            </w:r>
          </w:p>
        </w:tc>
        <w:tc>
          <w:tcPr>
            <w:tcW w:w="3923"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w:t>
            </w:r>
          </w:p>
        </w:tc>
        <w:tc>
          <w:tcPr>
            <w:tcW w:w="4099"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会</w:t>
            </w:r>
            <w:r>
              <w:rPr>
                <w:rFonts w:ascii="仿宋" w:hAnsi="仿宋" w:eastAsia="仿宋"/>
                <w:color w:val="000000"/>
                <w:sz w:val="24"/>
              </w:rPr>
              <w:t>计信息录入员</w:t>
            </w:r>
          </w:p>
        </w:tc>
        <w:tc>
          <w:tcPr>
            <w:tcW w:w="3923"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4</w:t>
            </w:r>
          </w:p>
        </w:tc>
        <w:tc>
          <w:tcPr>
            <w:tcW w:w="4099"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税</w:t>
            </w:r>
            <w:r>
              <w:rPr>
                <w:rFonts w:ascii="仿宋" w:hAnsi="仿宋" w:eastAsia="仿宋"/>
                <w:color w:val="000000"/>
                <w:sz w:val="24"/>
              </w:rPr>
              <w:t>费核算员</w:t>
            </w:r>
          </w:p>
        </w:tc>
        <w:tc>
          <w:tcPr>
            <w:tcW w:w="3923"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5</w:t>
            </w:r>
          </w:p>
        </w:tc>
        <w:tc>
          <w:tcPr>
            <w:tcW w:w="4099"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收</w:t>
            </w:r>
            <w:r>
              <w:rPr>
                <w:rFonts w:ascii="仿宋" w:hAnsi="仿宋" w:eastAsia="仿宋"/>
                <w:color w:val="000000"/>
                <w:sz w:val="24"/>
              </w:rPr>
              <w:t>银员</w:t>
            </w:r>
          </w:p>
        </w:tc>
        <w:tc>
          <w:tcPr>
            <w:tcW w:w="3923" w:type="dxa"/>
            <w:vMerge w:val="continue"/>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4" w:type="dxa"/>
            <w:vAlign w:val="center"/>
          </w:tcPr>
          <w:p>
            <w:pPr>
              <w:spacing w:line="320" w:lineRule="exact"/>
              <w:jc w:val="center"/>
              <w:rPr>
                <w:rFonts w:ascii="仿宋" w:hAnsi="仿宋" w:eastAsia="仿宋"/>
                <w:color w:val="000000"/>
                <w:sz w:val="24"/>
              </w:rPr>
            </w:pPr>
            <w:r>
              <w:rPr>
                <w:rFonts w:ascii="仿宋" w:hAnsi="仿宋" w:eastAsia="仿宋"/>
                <w:color w:val="000000"/>
                <w:sz w:val="24"/>
              </w:rPr>
              <w:t>6</w:t>
            </w:r>
          </w:p>
        </w:tc>
        <w:tc>
          <w:tcPr>
            <w:tcW w:w="4099"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自媒体营销专员</w:t>
            </w:r>
          </w:p>
        </w:tc>
        <w:tc>
          <w:tcPr>
            <w:tcW w:w="3923" w:type="dxa"/>
            <w:vMerge w:val="continue"/>
            <w:vAlign w:val="center"/>
          </w:tcPr>
          <w:p>
            <w:pPr>
              <w:rPr>
                <w:rFonts w:ascii="仿宋" w:hAnsi="仿宋" w:eastAsia="仿宋"/>
                <w:sz w:val="24"/>
              </w:rPr>
            </w:pPr>
          </w:p>
        </w:tc>
      </w:tr>
    </w:tbl>
    <w:p>
      <w:pPr>
        <w:overflowPunct w:val="0"/>
        <w:rPr>
          <w:rFonts w:ascii="黑体" w:hAnsi="黑体" w:eastAsia="黑体"/>
          <w:b/>
          <w:sz w:val="28"/>
          <w:szCs w:val="30"/>
        </w:rPr>
      </w:pPr>
      <w:r>
        <w:rPr>
          <w:rFonts w:hint="eastAsia" w:ascii="黑体" w:hAnsi="黑体" w:eastAsia="黑体"/>
          <w:b/>
          <w:sz w:val="28"/>
          <w:szCs w:val="30"/>
        </w:rPr>
        <w:t>五、培养目标与培养规格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1、培养目标</w:t>
      </w:r>
    </w:p>
    <w:p>
      <w:pPr>
        <w:pStyle w:val="25"/>
        <w:spacing w:line="360" w:lineRule="auto"/>
        <w:ind w:firstLine="283" w:firstLineChars="118"/>
        <w:jc w:val="left"/>
        <w:rPr>
          <w:rFonts w:hAnsi="宋体"/>
        </w:rPr>
      </w:pPr>
      <w:r>
        <w:rPr>
          <w:rFonts w:hint="eastAsia" w:hAnsi="宋体"/>
        </w:rPr>
        <w:t>本专业以培养具有互联网营销知识和财会知识等专业的职业岗位能力为培养目标，以互联网营销、财会行业对毕业生的满意度和学生可持续发展为重要检验标准，培养互联网领域和会计电算化领域发展需要的、能胜任相关职业岗位群工作的、技术型应用性人才。</w:t>
      </w:r>
    </w:p>
    <w:p>
      <w:pPr>
        <w:pStyle w:val="25"/>
        <w:spacing w:line="360" w:lineRule="auto"/>
        <w:ind w:firstLine="283" w:firstLineChars="118"/>
        <w:jc w:val="left"/>
        <w:rPr>
          <w:rFonts w:hAnsi="宋体"/>
        </w:rPr>
      </w:pPr>
      <w:r>
        <w:rPr>
          <w:rFonts w:hint="eastAsia" w:hAnsi="宋体"/>
        </w:rPr>
        <w:t>要求掌握职业道德和职业素养基础知识；热爱社会主义祖国，具有爱国主义、集体主义、社会主义思想和良好的道德素养；遵纪守法、艰苦奋斗、热爱劳动。</w:t>
      </w:r>
    </w:p>
    <w:p>
      <w:pPr>
        <w:pStyle w:val="25"/>
        <w:spacing w:line="360" w:lineRule="auto"/>
        <w:ind w:firstLine="283" w:firstLineChars="118"/>
        <w:jc w:val="left"/>
        <w:rPr>
          <w:rFonts w:hAnsi="宋体"/>
        </w:rPr>
      </w:pPr>
      <w:r>
        <w:rPr>
          <w:rFonts w:hint="eastAsia" w:hAnsi="宋体"/>
        </w:rPr>
        <w:t>具备本专业所必需的文化基础知识和专业知识，掌握本行业劳动技能和专业技能；具有一定的分析问题和解决问题的能力；具有一定的自学和获取信息的能力；具有计算机和外语的应用能力；具有实事求是、勇于创新、善于创业的精神；具有良好的职业道德。</w:t>
      </w:r>
    </w:p>
    <w:p>
      <w:pPr>
        <w:pStyle w:val="25"/>
        <w:spacing w:line="360" w:lineRule="auto"/>
        <w:ind w:firstLine="283" w:firstLineChars="118"/>
        <w:jc w:val="left"/>
        <w:rPr>
          <w:rFonts w:hAnsi="宋体"/>
        </w:rPr>
      </w:pPr>
      <w:r>
        <w:rPr>
          <w:rFonts w:hint="eastAsia" w:hAnsi="宋体"/>
        </w:rPr>
        <w:t>具有一定的体育运动和卫生保健知识，养成锻炼身体的习惯，掌握一定的运动技能，达到《国家体育锻炼标准》有关要求，身体健康，具有良好的心理素质。</w:t>
      </w:r>
    </w:p>
    <w:p>
      <w:pPr>
        <w:pStyle w:val="25"/>
        <w:spacing w:line="360" w:lineRule="auto"/>
        <w:ind w:firstLine="283" w:firstLineChars="118"/>
        <w:jc w:val="left"/>
        <w:rPr>
          <w:rFonts w:hAnsi="宋体"/>
        </w:rPr>
      </w:pPr>
      <w:r>
        <w:rPr>
          <w:rFonts w:hint="eastAsia" w:hAnsi="宋体"/>
        </w:rPr>
        <w:t>具有健康的审美意识和环保意识，对大自然、社会生活、文化艺术等有一定的审美鉴赏能力，善于协作办事。</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2、培养规格</w:t>
      </w:r>
    </w:p>
    <w:p>
      <w:pPr>
        <w:pStyle w:val="25"/>
        <w:spacing w:line="360" w:lineRule="auto"/>
        <w:ind w:firstLine="283" w:firstLineChars="118"/>
        <w:jc w:val="left"/>
        <w:rPr>
          <w:rFonts w:hAnsi="宋体"/>
        </w:rPr>
      </w:pPr>
      <w:r>
        <w:rPr>
          <w:rFonts w:hint="eastAsia" w:hAnsi="宋体"/>
        </w:rPr>
        <w:t>（1）树立正确的就业观和职业观，具有严谨、务实、诚信、敬业的职业道德；</w:t>
      </w:r>
    </w:p>
    <w:p>
      <w:pPr>
        <w:pStyle w:val="25"/>
        <w:spacing w:line="360" w:lineRule="auto"/>
        <w:ind w:firstLine="283" w:firstLineChars="118"/>
        <w:jc w:val="left"/>
        <w:rPr>
          <w:rFonts w:hAnsi="宋体"/>
        </w:rPr>
      </w:pPr>
      <w:r>
        <w:rPr>
          <w:rFonts w:hint="eastAsia" w:hAnsi="宋体"/>
        </w:rPr>
        <w:t>（2）具有良好的人文素质，较强的语言表达能力和与他人沟通的能力，具有良好的身体素质；</w:t>
      </w:r>
    </w:p>
    <w:p>
      <w:pPr>
        <w:pStyle w:val="25"/>
        <w:spacing w:line="360" w:lineRule="auto"/>
        <w:ind w:firstLine="283" w:firstLineChars="118"/>
        <w:jc w:val="left"/>
        <w:rPr>
          <w:rFonts w:hAnsi="宋体"/>
        </w:rPr>
      </w:pPr>
      <w:r>
        <w:rPr>
          <w:rFonts w:hint="eastAsia" w:hAnsi="宋体"/>
        </w:rPr>
        <w:t>（3）具备获取求职信息及撰写求职自荐书的能力；</w:t>
      </w:r>
    </w:p>
    <w:p>
      <w:pPr>
        <w:pStyle w:val="25"/>
        <w:spacing w:line="360" w:lineRule="auto"/>
        <w:ind w:firstLine="283" w:firstLineChars="118"/>
        <w:jc w:val="left"/>
        <w:rPr>
          <w:rFonts w:hAnsi="宋体"/>
        </w:rPr>
      </w:pPr>
      <w:r>
        <w:rPr>
          <w:rFonts w:hint="eastAsia" w:hAnsi="宋体"/>
        </w:rPr>
        <w:t>（4）通过计算机考试，具备一定的计算机应用能力；</w:t>
      </w:r>
    </w:p>
    <w:p>
      <w:pPr>
        <w:pStyle w:val="25"/>
        <w:spacing w:line="360" w:lineRule="auto"/>
        <w:ind w:firstLine="283" w:firstLineChars="118"/>
        <w:jc w:val="left"/>
        <w:rPr>
          <w:rFonts w:hAnsi="宋体"/>
        </w:rPr>
      </w:pPr>
      <w:r>
        <w:rPr>
          <w:rFonts w:hint="eastAsia" w:hAnsi="宋体"/>
        </w:rPr>
        <w:t>（5）具备阅读和本专业一般性英文资料的能力，具备基本的英语交流的能力。</w:t>
      </w:r>
    </w:p>
    <w:p>
      <w:pPr>
        <w:pStyle w:val="25"/>
        <w:spacing w:line="360" w:lineRule="auto"/>
        <w:ind w:firstLine="283" w:firstLineChars="118"/>
        <w:jc w:val="left"/>
        <w:rPr>
          <w:rFonts w:hAnsi="宋体"/>
        </w:rPr>
      </w:pPr>
      <w:r>
        <w:rPr>
          <w:rFonts w:hint="eastAsia" w:hAnsi="宋体"/>
        </w:rPr>
        <w:t>（6）具有经济业务、票据辨识能力；</w:t>
      </w:r>
    </w:p>
    <w:p>
      <w:pPr>
        <w:pStyle w:val="25"/>
        <w:spacing w:line="360" w:lineRule="auto"/>
        <w:ind w:firstLine="283" w:firstLineChars="118"/>
        <w:jc w:val="left"/>
        <w:rPr>
          <w:rFonts w:hAnsi="宋体"/>
        </w:rPr>
      </w:pPr>
      <w:r>
        <w:rPr>
          <w:rFonts w:hint="eastAsia" w:hAnsi="宋体"/>
        </w:rPr>
        <w:t>（7）具备会计信息化处理能力；</w:t>
      </w:r>
    </w:p>
    <w:p>
      <w:pPr>
        <w:pStyle w:val="25"/>
        <w:spacing w:line="360" w:lineRule="auto"/>
        <w:ind w:firstLine="283" w:firstLineChars="118"/>
        <w:jc w:val="left"/>
        <w:rPr>
          <w:rFonts w:hAnsi="宋体"/>
        </w:rPr>
      </w:pPr>
      <w:r>
        <w:rPr>
          <w:rFonts w:hint="eastAsia" w:hAnsi="宋体"/>
        </w:rPr>
        <w:t>（8）具备财产清查能力；</w:t>
      </w:r>
      <w:r>
        <w:rPr>
          <w:rFonts w:hint="eastAsia" w:hAnsi="宋体"/>
        </w:rPr>
        <w:tab/>
      </w:r>
    </w:p>
    <w:p>
      <w:pPr>
        <w:pStyle w:val="25"/>
        <w:spacing w:line="360" w:lineRule="auto"/>
        <w:ind w:firstLine="283" w:firstLineChars="118"/>
        <w:jc w:val="left"/>
        <w:rPr>
          <w:rFonts w:hAnsi="宋体"/>
        </w:rPr>
      </w:pPr>
      <w:r>
        <w:rPr>
          <w:rFonts w:hint="eastAsia" w:hAnsi="宋体"/>
        </w:rPr>
        <w:t>（9）初步具备账务清查、查错能力。</w:t>
      </w:r>
    </w:p>
    <w:p>
      <w:pPr>
        <w:pStyle w:val="25"/>
        <w:spacing w:line="360" w:lineRule="auto"/>
        <w:ind w:firstLine="283" w:firstLineChars="118"/>
        <w:jc w:val="left"/>
        <w:rPr>
          <w:rFonts w:hAnsi="宋体"/>
        </w:rPr>
      </w:pPr>
      <w:r>
        <w:rPr>
          <w:rFonts w:hint="eastAsia" w:hAnsi="宋体"/>
        </w:rPr>
        <w:t>（10）具有体育卫生和运动保健素养；树立自觉锻炼、终生锻炼身体的意识；体魄良好，体能达到规定标准</w:t>
      </w:r>
    </w:p>
    <w:p>
      <w:pPr>
        <w:overflowPunct w:val="0"/>
        <w:rPr>
          <w:rFonts w:ascii="黑体" w:hAnsi="黑体" w:eastAsia="黑体"/>
          <w:b/>
          <w:sz w:val="28"/>
          <w:szCs w:val="30"/>
        </w:rPr>
      </w:pPr>
      <w:r>
        <w:rPr>
          <w:rFonts w:hint="eastAsia" w:ascii="黑体" w:hAnsi="黑体" w:eastAsia="黑体"/>
          <w:b/>
          <w:sz w:val="28"/>
          <w:szCs w:val="30"/>
        </w:rPr>
        <w:t>六、课程设置及要求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根据培养目标和岗位群的能力要求，本专业课程设置分为公共基础课和专业技能课。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公共基础课包括德育课，文化课，体育与健康，艺术（或音乐、美术）、历史以及其他自然科学和人文科学类基础课。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专业技能课包括专业核心课和专业（技能）方向课，</w:t>
      </w:r>
      <w:r>
        <w:rPr>
          <w:rFonts w:ascii="仿宋_GB2312" w:eastAsia="仿宋_GB2312"/>
          <w:sz w:val="24"/>
          <w:szCs w:val="30"/>
        </w:rPr>
        <w:t>专业核心课针对职业岗位（群）共同具有的工作任务和职业能力，是不同专业（技能）方向必备的共同专业基础知识和基本技能。</w:t>
      </w:r>
      <w:r>
        <w:rPr>
          <w:rFonts w:hint="eastAsia" w:ascii="仿宋_GB2312" w:eastAsia="仿宋_GB2312"/>
          <w:sz w:val="24"/>
          <w:szCs w:val="30"/>
        </w:rPr>
        <w:t>实习实训是专业技能课教学的重要内容，含校内外实训、顶岗实习等多种形式。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1、公共基础课</w:t>
      </w:r>
    </w:p>
    <w:tbl>
      <w:tblPr>
        <w:tblStyle w:val="11"/>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47"/>
        <w:gridCol w:w="5831"/>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blHeader/>
          <w:jc w:val="center"/>
        </w:trPr>
        <w:tc>
          <w:tcPr>
            <w:tcW w:w="839"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序号</w:t>
            </w:r>
          </w:p>
        </w:tc>
        <w:tc>
          <w:tcPr>
            <w:tcW w:w="1547"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课程名称</w:t>
            </w:r>
          </w:p>
        </w:tc>
        <w:tc>
          <w:tcPr>
            <w:tcW w:w="5831"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主要教学内容和要求</w:t>
            </w:r>
          </w:p>
        </w:tc>
        <w:tc>
          <w:tcPr>
            <w:tcW w:w="845"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职业生涯规划</w:t>
            </w:r>
          </w:p>
        </w:tc>
        <w:tc>
          <w:tcPr>
            <w:tcW w:w="5831"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职业生涯规划教学大纲》开设，并注重引导学生树立正确的职业观念和职业理想，学会根据社会需要和自身特点进行职业生涯规划，并以此规范和调整自己的行为，为顺利就业、创业创造条件。</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职业道德</w:t>
            </w:r>
          </w:p>
          <w:p>
            <w:pPr>
              <w:spacing w:line="420" w:lineRule="exact"/>
              <w:jc w:val="center"/>
              <w:rPr>
                <w:rFonts w:ascii="仿宋" w:hAnsi="仿宋" w:eastAsia="仿宋" w:cs="宋体"/>
                <w:sz w:val="24"/>
              </w:rPr>
            </w:pPr>
            <w:r>
              <w:rPr>
                <w:rFonts w:hint="eastAsia" w:ascii="仿宋" w:hAnsi="仿宋" w:eastAsia="仿宋" w:cs="宋体"/>
                <w:sz w:val="24"/>
              </w:rPr>
              <w:t>与法律</w:t>
            </w:r>
          </w:p>
        </w:tc>
        <w:tc>
          <w:tcPr>
            <w:tcW w:w="5831"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依据《中等职业学校职业道德与法律教学大纲》开设，并注重提高学生的职业道德素质和法律素质，引导学生树立社会主义荣辱观，增强社会主义法治意识。</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经济政治</w:t>
            </w:r>
          </w:p>
          <w:p>
            <w:pPr>
              <w:spacing w:line="420" w:lineRule="exact"/>
              <w:jc w:val="center"/>
              <w:rPr>
                <w:rFonts w:ascii="仿宋" w:hAnsi="仿宋" w:eastAsia="仿宋" w:cs="宋体"/>
                <w:sz w:val="24"/>
              </w:rPr>
            </w:pPr>
            <w:r>
              <w:rPr>
                <w:rFonts w:hint="eastAsia" w:ascii="仿宋" w:hAnsi="仿宋" w:eastAsia="仿宋" w:cs="宋体"/>
                <w:sz w:val="24"/>
              </w:rPr>
              <w:t>与社会</w:t>
            </w:r>
          </w:p>
        </w:tc>
        <w:tc>
          <w:tcPr>
            <w:tcW w:w="5831"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依据《中等职业学校经济政治与社会教学大纲》开设，并注重引导学生认同我国的经济、政治制度，了解所处的文化和社会环境，树立中国特色社会主义共同理想，积极投身我国经济、政治、文化、社会建设。</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4</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哲学与</w:t>
            </w:r>
          </w:p>
          <w:p>
            <w:pPr>
              <w:spacing w:line="420" w:lineRule="exact"/>
              <w:jc w:val="center"/>
              <w:rPr>
                <w:rFonts w:ascii="仿宋" w:hAnsi="仿宋" w:eastAsia="仿宋" w:cs="宋体"/>
                <w:sz w:val="24"/>
              </w:rPr>
            </w:pPr>
            <w:r>
              <w:rPr>
                <w:rFonts w:hint="eastAsia" w:ascii="仿宋" w:hAnsi="仿宋" w:eastAsia="仿宋" w:cs="宋体"/>
                <w:sz w:val="24"/>
              </w:rPr>
              <w:t>人生</w:t>
            </w:r>
          </w:p>
        </w:tc>
        <w:tc>
          <w:tcPr>
            <w:tcW w:w="5831"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依据《中等职业学校哲学与人生教学大纲》开设，并注重引导学生学习运用辩证唯物主义和历史唯物主义的观点和方法，树立和追求崇高理想，逐步形成正确的世界观、人生观和价值观。</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5</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语文</w:t>
            </w:r>
          </w:p>
        </w:tc>
        <w:tc>
          <w:tcPr>
            <w:tcW w:w="5831" w:type="dxa"/>
            <w:shd w:val="clear" w:color="auto" w:fill="auto"/>
            <w:vAlign w:val="center"/>
          </w:tcPr>
          <w:p>
            <w:pPr>
              <w:pStyle w:val="25"/>
              <w:spacing w:line="360" w:lineRule="auto"/>
              <w:ind w:firstLine="0" w:firstLineChars="0"/>
              <w:jc w:val="left"/>
              <w:rPr>
                <w:rFonts w:hAnsi="宋体"/>
              </w:rPr>
            </w:pPr>
            <w:r>
              <w:rPr>
                <w:rFonts w:hint="eastAsia" w:hAnsi="宋体"/>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使学生进一步巩固和扩展必需的语文基础知识，养成自学和运用语文的良好习惯。</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6</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数学</w:t>
            </w:r>
          </w:p>
        </w:tc>
        <w:tc>
          <w:tcPr>
            <w:tcW w:w="5831" w:type="dxa"/>
            <w:shd w:val="clear" w:color="auto" w:fill="auto"/>
            <w:vAlign w:val="center"/>
          </w:tcPr>
          <w:p>
            <w:pPr>
              <w:pStyle w:val="25"/>
              <w:spacing w:line="360" w:lineRule="auto"/>
              <w:ind w:firstLine="0" w:firstLineChars="0"/>
              <w:jc w:val="left"/>
              <w:rPr>
                <w:rFonts w:hAnsi="宋体"/>
              </w:rPr>
            </w:pPr>
            <w:r>
              <w:rPr>
                <w:rFonts w:hint="eastAsia" w:hAnsi="宋体"/>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象、数形结合、思维和简单实际应用等能力，为学习专业课打下基础。</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英语</w:t>
            </w:r>
          </w:p>
        </w:tc>
        <w:tc>
          <w:tcPr>
            <w:tcW w:w="5831" w:type="dxa"/>
            <w:shd w:val="clear" w:color="auto" w:fill="auto"/>
            <w:vAlign w:val="center"/>
          </w:tcPr>
          <w:p>
            <w:pPr>
              <w:pStyle w:val="25"/>
              <w:spacing w:line="360" w:lineRule="auto"/>
              <w:ind w:firstLine="0" w:firstLineChars="0"/>
              <w:jc w:val="left"/>
              <w:rPr>
                <w:rFonts w:hAnsi="宋体"/>
              </w:rPr>
            </w:pPr>
            <w:r>
              <w:rPr>
                <w:rFonts w:hint="eastAsia" w:hAnsi="宋体"/>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8</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计算机</w:t>
            </w:r>
          </w:p>
          <w:p>
            <w:pPr>
              <w:spacing w:line="420" w:lineRule="exact"/>
              <w:jc w:val="center"/>
              <w:rPr>
                <w:rFonts w:ascii="仿宋" w:hAnsi="仿宋" w:eastAsia="仿宋" w:cs="宋体"/>
                <w:sz w:val="24"/>
              </w:rPr>
            </w:pPr>
            <w:r>
              <w:rPr>
                <w:rFonts w:hint="eastAsia" w:ascii="仿宋" w:hAnsi="仿宋" w:eastAsia="仿宋" w:cs="宋体"/>
                <w:sz w:val="24"/>
              </w:rPr>
              <w:t>应用基础</w:t>
            </w:r>
          </w:p>
        </w:tc>
        <w:tc>
          <w:tcPr>
            <w:tcW w:w="5831" w:type="dxa"/>
            <w:shd w:val="clear" w:color="auto" w:fill="auto"/>
            <w:vAlign w:val="center"/>
          </w:tcPr>
          <w:p>
            <w:pPr>
              <w:pStyle w:val="25"/>
              <w:spacing w:line="360" w:lineRule="auto"/>
              <w:ind w:firstLine="0" w:firstLineChars="0"/>
              <w:jc w:val="left"/>
              <w:rPr>
                <w:rFonts w:hAnsi="宋体"/>
              </w:rPr>
            </w:pPr>
            <w:r>
              <w:rPr>
                <w:rFonts w:hint="eastAsia" w:hAnsi="宋体"/>
              </w:rPr>
              <w:t>学习计算机的基础知识、常用操作系统的使用、文字处理软件的使用、计算机网络的基本操作和使用，掌握计算机操作的基本技能.</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体育与</w:t>
            </w:r>
          </w:p>
          <w:p>
            <w:pPr>
              <w:spacing w:line="420" w:lineRule="exact"/>
              <w:jc w:val="center"/>
              <w:rPr>
                <w:rFonts w:ascii="仿宋" w:hAnsi="仿宋" w:eastAsia="仿宋" w:cs="宋体"/>
                <w:sz w:val="24"/>
              </w:rPr>
            </w:pPr>
            <w:r>
              <w:rPr>
                <w:rFonts w:hint="eastAsia" w:ascii="仿宋" w:hAnsi="仿宋" w:eastAsia="仿宋" w:cs="宋体"/>
                <w:sz w:val="24"/>
              </w:rPr>
              <w:t>健康</w:t>
            </w:r>
          </w:p>
        </w:tc>
        <w:tc>
          <w:tcPr>
            <w:tcW w:w="5831" w:type="dxa"/>
            <w:shd w:val="clear" w:color="auto" w:fill="auto"/>
            <w:vAlign w:val="center"/>
          </w:tcPr>
          <w:p>
            <w:pPr>
              <w:pStyle w:val="25"/>
              <w:spacing w:line="360" w:lineRule="auto"/>
              <w:ind w:firstLine="0" w:firstLineChars="0"/>
              <w:jc w:val="left"/>
              <w:rPr>
                <w:rFonts w:hAnsi="宋体"/>
              </w:rPr>
            </w:pPr>
            <w:r>
              <w:rPr>
                <w:rFonts w:hint="eastAsia" w:hAnsi="宋体"/>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与创业立业奠定基础。</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10</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公共艺术</w:t>
            </w:r>
          </w:p>
        </w:tc>
        <w:tc>
          <w:tcPr>
            <w:tcW w:w="5831"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公共艺术课程是中等职业学校学生必修的一门公共基础课程。本课程融合音乐、美术等多种艺术门类，衔接九年义务教育阶段的相关艺术课程，具有基础性、综合性、审美性、人文性和实践性的特点，是中等职业学校实施美育的主要途径和内容。</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11</w:t>
            </w:r>
          </w:p>
        </w:tc>
        <w:tc>
          <w:tcPr>
            <w:tcW w:w="1547"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历史</w:t>
            </w:r>
          </w:p>
        </w:tc>
        <w:tc>
          <w:tcPr>
            <w:tcW w:w="5831" w:type="dxa"/>
            <w:shd w:val="clear" w:color="auto" w:fill="auto"/>
            <w:vAlign w:val="center"/>
          </w:tcPr>
          <w:p>
            <w:pPr>
              <w:spacing w:line="420" w:lineRule="exact"/>
              <w:rPr>
                <w:rFonts w:ascii="仿宋" w:hAnsi="仿宋" w:eastAsia="仿宋" w:cs="宋体"/>
                <w:sz w:val="24"/>
              </w:rPr>
            </w:pPr>
            <w:r>
              <w:rPr>
                <w:rFonts w:hint="eastAsia" w:ascii="仿宋" w:hAnsi="仿宋" w:eastAsia="仿宋" w:cs="宋体"/>
                <w:sz w:val="24"/>
              </w:rPr>
              <w:t>历史课程是中等职业学校学生必修的一门公共基础课程。在九年义务教育的基础上，促进中等职业学校学生进一步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845"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36</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2．专业</w:t>
      </w:r>
      <w:r>
        <w:rPr>
          <w:rFonts w:hint="eastAsia" w:ascii="仿宋_GB2312" w:eastAsia="仿宋_GB2312"/>
          <w:sz w:val="24"/>
          <w:szCs w:val="30"/>
        </w:rPr>
        <w:t>技能课</w:t>
      </w:r>
    </w:p>
    <w:p>
      <w:pPr>
        <w:overflowPunct w:val="0"/>
        <w:spacing w:line="360" w:lineRule="auto"/>
        <w:ind w:firstLine="340" w:firstLineChars="142"/>
        <w:rPr>
          <w:rFonts w:ascii="楷体_GB2312" w:eastAsia="楷体_GB2312"/>
          <w:sz w:val="30"/>
          <w:szCs w:val="30"/>
        </w:rPr>
      </w:pPr>
      <w:r>
        <w:rPr>
          <w:rFonts w:hint="eastAsia" w:ascii="仿宋_GB2312" w:eastAsia="仿宋_GB2312"/>
          <w:sz w:val="24"/>
          <w:szCs w:val="30"/>
        </w:rPr>
        <w:t>（1）专业核心课</w:t>
      </w:r>
    </w:p>
    <w:tbl>
      <w:tblPr>
        <w:tblStyle w:val="11"/>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567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blHeader/>
          <w:jc w:val="center"/>
        </w:trPr>
        <w:tc>
          <w:tcPr>
            <w:tcW w:w="846" w:type="dxa"/>
            <w:shd w:val="clear" w:color="auto" w:fill="auto"/>
            <w:vAlign w:val="center"/>
          </w:tcPr>
          <w:p>
            <w:pPr>
              <w:pStyle w:val="25"/>
              <w:spacing w:line="360" w:lineRule="auto"/>
              <w:ind w:firstLine="0" w:firstLineChars="0"/>
              <w:jc w:val="center"/>
              <w:rPr>
                <w:rFonts w:hAnsi="宋体"/>
                <w:b/>
              </w:rPr>
            </w:pPr>
            <w:r>
              <w:rPr>
                <w:rFonts w:hint="eastAsia" w:hAnsi="宋体"/>
                <w:b/>
              </w:rPr>
              <w:t>序号</w:t>
            </w:r>
          </w:p>
        </w:tc>
        <w:tc>
          <w:tcPr>
            <w:tcW w:w="1701" w:type="dxa"/>
            <w:shd w:val="clear" w:color="auto" w:fill="auto"/>
            <w:vAlign w:val="center"/>
          </w:tcPr>
          <w:p>
            <w:pPr>
              <w:pStyle w:val="25"/>
              <w:spacing w:line="360" w:lineRule="auto"/>
              <w:ind w:firstLine="0" w:firstLineChars="0"/>
              <w:jc w:val="center"/>
              <w:rPr>
                <w:rFonts w:hAnsi="宋体"/>
                <w:b/>
              </w:rPr>
            </w:pPr>
            <w:r>
              <w:rPr>
                <w:rFonts w:hint="eastAsia" w:hAnsi="宋体"/>
                <w:b/>
              </w:rPr>
              <w:t>课程名称</w:t>
            </w:r>
          </w:p>
        </w:tc>
        <w:tc>
          <w:tcPr>
            <w:tcW w:w="5670" w:type="dxa"/>
            <w:vAlign w:val="center"/>
          </w:tcPr>
          <w:p>
            <w:pPr>
              <w:pStyle w:val="25"/>
              <w:spacing w:line="360" w:lineRule="auto"/>
              <w:ind w:firstLine="0" w:firstLineChars="0"/>
              <w:jc w:val="center"/>
              <w:rPr>
                <w:rFonts w:hAnsi="宋体"/>
                <w:b/>
              </w:rPr>
            </w:pPr>
            <w:r>
              <w:rPr>
                <w:rFonts w:hint="eastAsia" w:hAnsi="宋体"/>
                <w:b/>
              </w:rPr>
              <w:t>课程学习要点</w:t>
            </w:r>
          </w:p>
        </w:tc>
        <w:tc>
          <w:tcPr>
            <w:tcW w:w="850" w:type="dxa"/>
            <w:vAlign w:val="center"/>
          </w:tcPr>
          <w:p>
            <w:pPr>
              <w:pStyle w:val="25"/>
              <w:spacing w:line="360" w:lineRule="auto"/>
              <w:ind w:firstLine="0" w:firstLineChars="0"/>
              <w:jc w:val="center"/>
              <w:rPr>
                <w:rFonts w:hAnsi="宋体"/>
                <w:b/>
              </w:rPr>
            </w:pPr>
            <w:r>
              <w:rPr>
                <w:rFonts w:hint="eastAsia" w:hAnsi="宋体"/>
                <w:b/>
              </w:rPr>
              <w:t>学</w:t>
            </w:r>
            <w:r>
              <w:rPr>
                <w:rFonts w:hAnsi="宋体"/>
                <w:b/>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1</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OFFICE</w:t>
            </w:r>
            <w:r>
              <w:rPr>
                <w:rFonts w:hAnsi="宋体"/>
              </w:rPr>
              <w:t xml:space="preserve"> </w:t>
            </w:r>
            <w:r>
              <w:rPr>
                <w:rFonts w:hint="eastAsia" w:hAnsi="宋体"/>
              </w:rPr>
              <w:t>2010</w:t>
            </w:r>
          </w:p>
        </w:tc>
        <w:tc>
          <w:tcPr>
            <w:tcW w:w="5670" w:type="dxa"/>
            <w:vAlign w:val="center"/>
          </w:tcPr>
          <w:p>
            <w:pPr>
              <w:pStyle w:val="25"/>
              <w:spacing w:line="360" w:lineRule="auto"/>
              <w:ind w:firstLine="0" w:firstLineChars="0"/>
              <w:jc w:val="left"/>
              <w:rPr>
                <w:rFonts w:hAnsi="宋体"/>
              </w:rPr>
            </w:pPr>
            <w:r>
              <w:rPr>
                <w:rFonts w:hint="eastAsia" w:hAnsi="宋体"/>
              </w:rPr>
              <w:t>学习Office 办公自动化知识，具有文字处理能力，数据处理能力，信息获取、整理、加工能力，方案和数据展示能力等。</w:t>
            </w:r>
          </w:p>
        </w:tc>
        <w:tc>
          <w:tcPr>
            <w:tcW w:w="850" w:type="dxa"/>
            <w:vAlign w:val="center"/>
          </w:tcPr>
          <w:p>
            <w:pPr>
              <w:pStyle w:val="25"/>
              <w:spacing w:line="360" w:lineRule="auto"/>
              <w:ind w:firstLine="0" w:firstLineChars="0"/>
              <w:jc w:val="center"/>
              <w:rPr>
                <w:rFonts w:hAnsi="宋体"/>
              </w:rPr>
            </w:pPr>
            <w:r>
              <w:rPr>
                <w:rFonts w:hint="eastAsia" w:hAnsi="宋体"/>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2</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计算机组装与维护</w:t>
            </w:r>
          </w:p>
        </w:tc>
        <w:tc>
          <w:tcPr>
            <w:tcW w:w="5670" w:type="dxa"/>
            <w:vAlign w:val="center"/>
          </w:tcPr>
          <w:p>
            <w:pPr>
              <w:pStyle w:val="25"/>
              <w:spacing w:line="360" w:lineRule="auto"/>
              <w:ind w:firstLine="0" w:firstLineChars="0"/>
              <w:jc w:val="left"/>
              <w:rPr>
                <w:rFonts w:hAnsi="宋体"/>
              </w:rPr>
            </w:pPr>
            <w:r>
              <w:rPr>
                <w:rFonts w:hint="eastAsia" w:hAnsi="宋体"/>
              </w:rPr>
              <w:t>学习主机（主板、中央处理器、内存条、电源与机箱）、存储设备、输入/输出设备等主要配件的识别、安装和日常维护；重点介绍如何安装、调试硬件以及如何安装操作系统等基本操作；同时还介绍常用工具软件的使用方法和微型计算机常见故障维修。</w:t>
            </w:r>
          </w:p>
        </w:tc>
        <w:tc>
          <w:tcPr>
            <w:tcW w:w="850" w:type="dxa"/>
            <w:vAlign w:val="center"/>
          </w:tcPr>
          <w:p>
            <w:pPr>
              <w:pStyle w:val="25"/>
              <w:spacing w:line="360" w:lineRule="auto"/>
              <w:ind w:firstLine="0" w:firstLineChars="0"/>
              <w:jc w:val="center"/>
              <w:rPr>
                <w:rFonts w:hAnsi="宋体"/>
              </w:rPr>
            </w:pPr>
            <w:r>
              <w:rPr>
                <w:rFonts w:hint="eastAsia"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846" w:type="dxa"/>
            <w:shd w:val="clear" w:color="auto" w:fill="FFFFFF"/>
            <w:vAlign w:val="center"/>
          </w:tcPr>
          <w:p>
            <w:pPr>
              <w:pStyle w:val="25"/>
              <w:spacing w:line="360" w:lineRule="auto"/>
              <w:ind w:firstLine="0" w:firstLineChars="0"/>
              <w:jc w:val="center"/>
              <w:rPr>
                <w:rFonts w:hAnsi="宋体"/>
              </w:rPr>
            </w:pPr>
            <w:r>
              <w:rPr>
                <w:rFonts w:hint="eastAsia" w:hAnsi="宋体"/>
              </w:rPr>
              <w:t>3</w:t>
            </w:r>
          </w:p>
        </w:tc>
        <w:tc>
          <w:tcPr>
            <w:tcW w:w="1701" w:type="dxa"/>
            <w:shd w:val="clear" w:color="auto" w:fill="FFFFFF"/>
            <w:vAlign w:val="center"/>
          </w:tcPr>
          <w:p>
            <w:pPr>
              <w:pStyle w:val="25"/>
              <w:spacing w:line="360" w:lineRule="auto"/>
              <w:ind w:firstLine="0" w:firstLineChars="0"/>
              <w:jc w:val="center"/>
              <w:rPr>
                <w:rFonts w:hAnsi="宋体"/>
              </w:rPr>
            </w:pPr>
            <w:r>
              <w:rPr>
                <w:rFonts w:hint="eastAsia" w:hAnsi="宋体"/>
              </w:rPr>
              <w:t>税务会计</w:t>
            </w:r>
          </w:p>
        </w:tc>
        <w:tc>
          <w:tcPr>
            <w:tcW w:w="5670" w:type="dxa"/>
            <w:shd w:val="clear" w:color="auto" w:fill="FFFFFF"/>
            <w:vAlign w:val="center"/>
          </w:tcPr>
          <w:p>
            <w:pPr>
              <w:pStyle w:val="25"/>
              <w:spacing w:line="360" w:lineRule="auto"/>
              <w:ind w:firstLine="0" w:firstLineChars="0"/>
              <w:jc w:val="left"/>
              <w:rPr>
                <w:rFonts w:hAnsi="宋体"/>
              </w:rPr>
            </w:pPr>
            <w:r>
              <w:rPr>
                <w:rFonts w:hint="eastAsia" w:hAnsi="宋体"/>
              </w:rPr>
              <w:t>通过本课程的学习是学生了解税收制度、纳税的会计科目设置和会计处理方法、账簿和会计凭证管理；掌握各税种的税收制度要素内容、征收管理、应纳税额的计算会计处理方法；具备企业税务会计方面的知识，熟练掌握各种税的计算方法和会计处理方法，提高专业技能。</w:t>
            </w:r>
          </w:p>
        </w:tc>
        <w:tc>
          <w:tcPr>
            <w:tcW w:w="850" w:type="dxa"/>
            <w:shd w:val="clear" w:color="auto" w:fill="FFFFFF"/>
            <w:vAlign w:val="center"/>
          </w:tcPr>
          <w:p>
            <w:pPr>
              <w:pStyle w:val="25"/>
              <w:spacing w:line="360" w:lineRule="auto"/>
              <w:ind w:firstLine="0" w:firstLineChars="0"/>
              <w:jc w:val="center"/>
              <w:rPr>
                <w:rFonts w:hAnsi="宋体"/>
              </w:rPr>
            </w:pPr>
            <w:r>
              <w:rPr>
                <w:rFonts w:hint="eastAsia"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4</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财务管理</w:t>
            </w:r>
          </w:p>
        </w:tc>
        <w:tc>
          <w:tcPr>
            <w:tcW w:w="5670" w:type="dxa"/>
            <w:vAlign w:val="center"/>
          </w:tcPr>
          <w:p>
            <w:pPr>
              <w:pStyle w:val="25"/>
              <w:spacing w:line="360" w:lineRule="auto"/>
              <w:ind w:firstLine="0" w:firstLineChars="0"/>
              <w:jc w:val="left"/>
              <w:rPr>
                <w:rFonts w:hAnsi="宋体"/>
              </w:rPr>
            </w:pPr>
            <w:r>
              <w:rPr>
                <w:rFonts w:hint="eastAsia" w:hAnsi="宋体"/>
              </w:rPr>
              <w:t>通过本课程的学习，使学生明确财务管理的含义，目标和特点，认识做好财务管理工作对于促进生产经营、提高经济效益的重要意义；理解财务管理的基本内容，懂得各种财务活动的联系以及财务活动同其他经济活动的联系；在系统掌握财务管理的基本理论和基本知识的基础上，熟练掌握财务管理的各种业务方法，具有一定的财务分析和解决财务管理问题的能力，为经营决策服务，并为学习其他课程打下良好的基础。</w:t>
            </w:r>
          </w:p>
        </w:tc>
        <w:tc>
          <w:tcPr>
            <w:tcW w:w="850" w:type="dxa"/>
            <w:vAlign w:val="center"/>
          </w:tcPr>
          <w:p>
            <w:pPr>
              <w:pStyle w:val="25"/>
              <w:spacing w:line="360" w:lineRule="auto"/>
              <w:ind w:firstLine="0" w:firstLineChars="0"/>
              <w:jc w:val="center"/>
              <w:rPr>
                <w:rFonts w:hAnsi="宋体"/>
              </w:rPr>
            </w:pPr>
            <w:r>
              <w:rPr>
                <w:rFonts w:hint="eastAsia"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5</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基础会计学</w:t>
            </w:r>
          </w:p>
        </w:tc>
        <w:tc>
          <w:tcPr>
            <w:tcW w:w="5670" w:type="dxa"/>
            <w:vAlign w:val="center"/>
          </w:tcPr>
          <w:p>
            <w:pPr>
              <w:pStyle w:val="25"/>
              <w:spacing w:line="360" w:lineRule="auto"/>
              <w:ind w:firstLine="0" w:firstLineChars="0"/>
              <w:jc w:val="left"/>
              <w:rPr>
                <w:rFonts w:hAnsi="宋体"/>
              </w:rPr>
            </w:pPr>
            <w:r>
              <w:rPr>
                <w:rFonts w:hint="eastAsia" w:hAnsi="宋体"/>
              </w:rPr>
              <w:t>通过本课程的学习，使学生能够比较全面地了解、掌握会计的基本原理、基本方法和基本技能，并使学生具备进行会计核算的初步能力，为后续专业课程的学习打下基础。</w:t>
            </w:r>
          </w:p>
        </w:tc>
        <w:tc>
          <w:tcPr>
            <w:tcW w:w="850" w:type="dxa"/>
            <w:vAlign w:val="center"/>
          </w:tcPr>
          <w:p>
            <w:pPr>
              <w:pStyle w:val="25"/>
              <w:spacing w:line="360" w:lineRule="auto"/>
              <w:ind w:firstLine="0" w:firstLineChars="0"/>
              <w:jc w:val="center"/>
              <w:rPr>
                <w:rFonts w:hAnsi="宋体"/>
              </w:rPr>
            </w:pPr>
            <w:r>
              <w:rPr>
                <w:rFonts w:hint="eastAsia" w:hAnsi="宋体"/>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6</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管理学原理</w:t>
            </w:r>
          </w:p>
        </w:tc>
        <w:tc>
          <w:tcPr>
            <w:tcW w:w="5670" w:type="dxa"/>
            <w:vAlign w:val="center"/>
          </w:tcPr>
          <w:p>
            <w:pPr>
              <w:pStyle w:val="25"/>
              <w:spacing w:line="360" w:lineRule="auto"/>
              <w:ind w:firstLine="0" w:firstLineChars="0"/>
              <w:jc w:val="left"/>
              <w:rPr>
                <w:rFonts w:hAnsi="宋体"/>
              </w:rPr>
            </w:pPr>
            <w:r>
              <w:rPr>
                <w:rFonts w:hint="eastAsia" w:hAnsi="宋体"/>
              </w:rPr>
              <w:t>课程重点介绍管理学的概念、发展、基本原理，方法，及管理的基本职能（计划职能、组织职能、领导职能、控制职能）</w:t>
            </w:r>
          </w:p>
        </w:tc>
        <w:tc>
          <w:tcPr>
            <w:tcW w:w="850" w:type="dxa"/>
            <w:vAlign w:val="center"/>
          </w:tcPr>
          <w:p>
            <w:pPr>
              <w:pStyle w:val="25"/>
              <w:spacing w:line="360" w:lineRule="auto"/>
              <w:ind w:firstLine="0" w:firstLineChars="0"/>
              <w:jc w:val="center"/>
              <w:rPr>
                <w:rFonts w:hAnsi="宋体"/>
              </w:rPr>
            </w:pPr>
            <w:r>
              <w:rPr>
                <w:rFonts w:hint="eastAsia" w:hAnsi="宋体"/>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7</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财税统计知识</w:t>
            </w:r>
          </w:p>
        </w:tc>
        <w:tc>
          <w:tcPr>
            <w:tcW w:w="5670" w:type="dxa"/>
            <w:vAlign w:val="center"/>
          </w:tcPr>
          <w:p>
            <w:pPr>
              <w:pStyle w:val="25"/>
              <w:spacing w:line="360" w:lineRule="auto"/>
              <w:ind w:firstLine="0" w:firstLineChars="0"/>
              <w:jc w:val="left"/>
              <w:rPr>
                <w:rFonts w:hAnsi="宋体"/>
              </w:rPr>
            </w:pPr>
            <w:r>
              <w:rPr>
                <w:rFonts w:hint="eastAsia" w:hAnsi="宋体"/>
              </w:rPr>
              <w:t>使学生掌握中初级会计专门人才必备的统计基本理论、基本知识和统计调查、统计资料加工整理与量化分析的基本方法和基本技能；提高学生认识社会、分析和解决问题的能力；培养学生的综合职业能力。</w:t>
            </w:r>
          </w:p>
        </w:tc>
        <w:tc>
          <w:tcPr>
            <w:tcW w:w="850" w:type="dxa"/>
            <w:vAlign w:val="center"/>
          </w:tcPr>
          <w:p>
            <w:pPr>
              <w:pStyle w:val="25"/>
              <w:spacing w:line="360" w:lineRule="auto"/>
              <w:ind w:firstLine="0" w:firstLineChars="0"/>
              <w:jc w:val="center"/>
              <w:rPr>
                <w:rFonts w:hAnsi="宋体"/>
              </w:rPr>
            </w:pPr>
            <w:r>
              <w:rPr>
                <w:rFonts w:hint="eastAsia" w:hAnsi="宋体"/>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846" w:type="dxa"/>
            <w:vAlign w:val="center"/>
          </w:tcPr>
          <w:p>
            <w:pPr>
              <w:pStyle w:val="25"/>
              <w:spacing w:line="360" w:lineRule="auto"/>
              <w:ind w:firstLine="0" w:firstLineChars="0"/>
              <w:jc w:val="center"/>
              <w:rPr>
                <w:rFonts w:hAnsi="宋体"/>
              </w:rPr>
            </w:pPr>
            <w:r>
              <w:rPr>
                <w:rFonts w:hint="eastAsia" w:hAnsi="宋体"/>
              </w:rPr>
              <w:t>8</w:t>
            </w:r>
          </w:p>
        </w:tc>
        <w:tc>
          <w:tcPr>
            <w:tcW w:w="1701" w:type="dxa"/>
            <w:shd w:val="clear" w:color="auto" w:fill="auto"/>
            <w:vAlign w:val="center"/>
          </w:tcPr>
          <w:p>
            <w:pPr>
              <w:pStyle w:val="25"/>
              <w:spacing w:line="360" w:lineRule="auto"/>
              <w:ind w:firstLine="0" w:firstLineChars="0"/>
              <w:jc w:val="center"/>
              <w:rPr>
                <w:rFonts w:hAnsi="宋体"/>
              </w:rPr>
            </w:pPr>
            <w:r>
              <w:rPr>
                <w:rFonts w:hint="eastAsia" w:hAnsi="宋体"/>
              </w:rPr>
              <w:t>审计基础</w:t>
            </w:r>
          </w:p>
        </w:tc>
        <w:tc>
          <w:tcPr>
            <w:tcW w:w="5670" w:type="dxa"/>
            <w:vAlign w:val="center"/>
          </w:tcPr>
          <w:p>
            <w:pPr>
              <w:pStyle w:val="25"/>
              <w:spacing w:line="360" w:lineRule="auto"/>
              <w:ind w:firstLine="0" w:firstLineChars="0"/>
              <w:jc w:val="left"/>
              <w:rPr>
                <w:rFonts w:hAnsi="宋体"/>
              </w:rPr>
            </w:pPr>
            <w:r>
              <w:rPr>
                <w:rFonts w:hint="eastAsia" w:hAnsi="宋体"/>
              </w:rPr>
              <w:t>审计学基本理论、审计实务循环两大部分。在介绍国家审计、内部审计和注册会计师审计三大监督体系的基础上，以财务报表审计报告的形成过程为主线，先后介绍了财务报表审计风险的了解过程、评估过程和应对过程。在审计实务循环部分，本书选择介绍了销售与收款、采购与付款、生产和存货、货币资金等典型业务循环的审计要点。</w:t>
            </w:r>
          </w:p>
        </w:tc>
        <w:tc>
          <w:tcPr>
            <w:tcW w:w="850" w:type="dxa"/>
            <w:vAlign w:val="center"/>
          </w:tcPr>
          <w:p>
            <w:pPr>
              <w:pStyle w:val="25"/>
              <w:spacing w:line="360" w:lineRule="auto"/>
              <w:ind w:firstLine="0" w:firstLineChars="0"/>
              <w:jc w:val="center"/>
              <w:rPr>
                <w:rFonts w:hAnsi="宋体"/>
              </w:rPr>
            </w:pPr>
            <w:r>
              <w:rPr>
                <w:rFonts w:hint="eastAsia" w:hAnsi="宋体"/>
              </w:rPr>
              <w:t>126</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w:t>
      </w:r>
      <w:r>
        <w:rPr>
          <w:rFonts w:hint="eastAsia" w:ascii="仿宋_GB2312" w:eastAsia="仿宋_GB2312"/>
          <w:sz w:val="24"/>
          <w:szCs w:val="30"/>
        </w:rPr>
        <w:t>2</w:t>
      </w:r>
      <w:r>
        <w:rPr>
          <w:rFonts w:ascii="仿宋_GB2312" w:eastAsia="仿宋_GB2312"/>
          <w:sz w:val="24"/>
          <w:szCs w:val="30"/>
        </w:rPr>
        <w:t>）专</w:t>
      </w:r>
      <w:r>
        <w:rPr>
          <w:rFonts w:hint="eastAsia" w:ascii="仿宋_GB2312" w:eastAsia="仿宋_GB2312"/>
          <w:sz w:val="24"/>
          <w:szCs w:val="30"/>
        </w:rPr>
        <w:t>业（技能）</w:t>
      </w:r>
      <w:r>
        <w:rPr>
          <w:rFonts w:ascii="仿宋_GB2312" w:eastAsia="仿宋_GB2312"/>
          <w:sz w:val="24"/>
          <w:szCs w:val="30"/>
        </w:rPr>
        <w:t>方</w:t>
      </w:r>
      <w:r>
        <w:rPr>
          <w:rFonts w:hint="eastAsia" w:ascii="仿宋_GB2312" w:eastAsia="仿宋_GB2312"/>
          <w:sz w:val="24"/>
          <w:szCs w:val="30"/>
        </w:rPr>
        <w:t>向</w:t>
      </w:r>
      <w:r>
        <w:rPr>
          <w:rFonts w:ascii="仿宋_GB2312" w:eastAsia="仿宋_GB2312"/>
          <w:sz w:val="24"/>
          <w:szCs w:val="30"/>
        </w:rPr>
        <w:t>课</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①财务</w:t>
      </w:r>
      <w:r>
        <w:rPr>
          <w:rFonts w:ascii="仿宋_GB2312" w:eastAsia="仿宋_GB2312"/>
          <w:sz w:val="24"/>
          <w:szCs w:val="30"/>
        </w:rPr>
        <w:t>管理</w:t>
      </w:r>
      <w:r>
        <w:rPr>
          <w:rFonts w:hint="eastAsia" w:ascii="仿宋_GB2312" w:eastAsia="仿宋_GB2312"/>
          <w:sz w:val="24"/>
          <w:szCs w:val="30"/>
        </w:rPr>
        <w:t>方向</w:t>
      </w:r>
    </w:p>
    <w:tbl>
      <w:tblPr>
        <w:tblStyle w:val="11"/>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740"/>
        <w:gridCol w:w="530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88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序号</w:t>
            </w:r>
          </w:p>
        </w:tc>
        <w:tc>
          <w:tcPr>
            <w:tcW w:w="1740"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课程名称</w:t>
            </w:r>
          </w:p>
        </w:tc>
        <w:tc>
          <w:tcPr>
            <w:tcW w:w="5304"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主要教学内容和要求</w:t>
            </w:r>
          </w:p>
        </w:tc>
        <w:tc>
          <w:tcPr>
            <w:tcW w:w="84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1</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ERP原理及应用</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该课程主要做为从事企业管理、信息管理、企业信息化等工作的管理人员的培训教材。</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2</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会计实务</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通过本课程的学习，使学员可以系统地掌握了会计等式、借贷记账法，具备了实际会计工作所必需的基本会计知识、基本会计技能后，基于实际会计工作过程为学生搭建起会计整体工作体系框架，培养学生会计职业岗位技能的一门职业必修课程。本课程面向会计工作的全过程和各岗位，通过本课程的学习，提高学生的会计职业判断能力、会计岗位操作技能以及全盘账务处理能力。</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3</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财务报表分析</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学习本课程的目的是在学生掌握的会计报表编制方法的基础上，进一步加深对财务报表的理解，掌握运用财务报表分析和评价企业经营成果和财务状况的方法，基本具备通过财务报表评价过去和预测未来的能力，以及帮助利益关系集团改善决策的能力。</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4</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财经应用文写作</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是经济工作中处理公务、沟通信息、解决问题、科学管理不可缺少的重要工具。</w:t>
            </w:r>
          </w:p>
          <w:p>
            <w:pPr>
              <w:pStyle w:val="25"/>
              <w:spacing w:line="360" w:lineRule="auto"/>
              <w:ind w:firstLine="0" w:firstLineChars="0"/>
              <w:jc w:val="left"/>
              <w:rPr>
                <w:rFonts w:hAnsi="宋体"/>
              </w:rPr>
            </w:pPr>
            <w:r>
              <w:rPr>
                <w:rFonts w:hint="eastAsia" w:hAnsi="宋体"/>
              </w:rPr>
              <w:t>开课目的在于提高学生的应用写作能力是帮助学生了解和掌握与经济管理有关的基础写作理论与常用问题知识，掌握常用公文写作技能。</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36</w:t>
            </w:r>
          </w:p>
        </w:tc>
      </w:tr>
    </w:tbl>
    <w:p>
      <w:pPr>
        <w:overflowPunct w:val="0"/>
        <w:spacing w:line="360" w:lineRule="auto"/>
        <w:ind w:firstLine="580" w:firstLineChars="242"/>
        <w:rPr>
          <w:rFonts w:ascii="仿宋_GB2312" w:eastAsia="仿宋_GB2312"/>
          <w:sz w:val="24"/>
          <w:szCs w:val="30"/>
        </w:rPr>
      </w:pPr>
      <w:r>
        <w:rPr>
          <w:rFonts w:hint="eastAsia" w:ascii="仿宋" w:hAnsi="仿宋" w:eastAsia="仿宋"/>
          <w:sz w:val="24"/>
          <w:szCs w:val="30"/>
        </w:rPr>
        <w:t>②</w:t>
      </w:r>
      <w:r>
        <w:rPr>
          <w:rFonts w:hint="eastAsia" w:ascii="仿宋_GB2312" w:eastAsia="仿宋_GB2312"/>
          <w:sz w:val="24"/>
          <w:szCs w:val="30"/>
        </w:rPr>
        <w:t>电商营</w:t>
      </w:r>
      <w:r>
        <w:rPr>
          <w:rFonts w:ascii="仿宋_GB2312" w:eastAsia="仿宋_GB2312"/>
          <w:sz w:val="24"/>
          <w:szCs w:val="30"/>
        </w:rPr>
        <w:t>销</w:t>
      </w:r>
      <w:r>
        <w:rPr>
          <w:rFonts w:hint="eastAsia" w:ascii="仿宋_GB2312" w:eastAsia="仿宋_GB2312"/>
          <w:sz w:val="24"/>
          <w:szCs w:val="30"/>
        </w:rPr>
        <w:t>方向</w:t>
      </w:r>
    </w:p>
    <w:tbl>
      <w:tblPr>
        <w:tblStyle w:val="11"/>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740"/>
        <w:gridCol w:w="530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88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序号</w:t>
            </w:r>
          </w:p>
        </w:tc>
        <w:tc>
          <w:tcPr>
            <w:tcW w:w="1740"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课程名称</w:t>
            </w:r>
          </w:p>
        </w:tc>
        <w:tc>
          <w:tcPr>
            <w:tcW w:w="5304"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主要教学内容和要求</w:t>
            </w:r>
          </w:p>
        </w:tc>
        <w:tc>
          <w:tcPr>
            <w:tcW w:w="849" w:type="dxa"/>
            <w:shd w:val="clear" w:color="auto" w:fill="auto"/>
            <w:vAlign w:val="center"/>
          </w:tcPr>
          <w:p>
            <w:pPr>
              <w:adjustRightInd w:val="0"/>
              <w:snapToGrid w:val="0"/>
              <w:jc w:val="center"/>
              <w:rPr>
                <w:rFonts w:ascii="仿宋" w:hAnsi="仿宋" w:eastAsia="仿宋"/>
                <w:b/>
                <w:bCs/>
                <w:color w:val="000000"/>
                <w:sz w:val="24"/>
              </w:rPr>
            </w:pPr>
            <w:r>
              <w:rPr>
                <w:rFonts w:hint="eastAsia" w:ascii="仿宋" w:hAnsi="仿宋" w:eastAsia="仿宋"/>
                <w:b/>
                <w:bCs/>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1</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SMM社会化媒体营销</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课程通过大量成功案例详细展示3C数码、食品、文化传媒、家具电器、美妆服饰、本地商家、民营医院、家居百货等多个行业如何进行微营销。</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5</w:t>
            </w:r>
            <w:r>
              <w:rPr>
                <w:rFonts w:ascii="仿宋" w:hAnsi="仿宋" w:eastAsia="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2</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市场营销</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通过本课程的学习，使学员理论和实践相结合，注重针对性、可操作性，在强调准确阐明营销基本理论的基础上，突出学科新发展。</w:t>
            </w:r>
          </w:p>
        </w:tc>
        <w:tc>
          <w:tcPr>
            <w:tcW w:w="849" w:type="dxa"/>
            <w:shd w:val="clear" w:color="auto" w:fill="auto"/>
            <w:vAlign w:val="center"/>
          </w:tcPr>
          <w:p>
            <w:pPr>
              <w:spacing w:line="360" w:lineRule="auto"/>
              <w:jc w:val="center"/>
              <w:rPr>
                <w:rFonts w:ascii="仿宋" w:hAnsi="仿宋" w:eastAsia="仿宋"/>
                <w:sz w:val="24"/>
              </w:rPr>
            </w:pPr>
            <w:r>
              <w:rPr>
                <w:rFonts w:ascii="仿宋" w:hAnsi="仿宋" w:eastAsia="仿宋"/>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3</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跨境电商速卖通运营与管理</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通过学习本课程，学生将掌握跨境电子商务的基本概念，掌握跨境电子商务物流、支付、供应链、外贸综合服务、协同商务等，学会一些跨境零售的基本操作，了解有关政策，法律问题及发展趋势。</w:t>
            </w:r>
          </w:p>
        </w:tc>
        <w:tc>
          <w:tcPr>
            <w:tcW w:w="849"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 w:type="dxa"/>
            <w:shd w:val="clear" w:color="auto" w:fill="auto"/>
            <w:vAlign w:val="center"/>
          </w:tcPr>
          <w:p>
            <w:pPr>
              <w:adjustRightInd w:val="0"/>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4</w:t>
            </w:r>
          </w:p>
        </w:tc>
        <w:tc>
          <w:tcPr>
            <w:tcW w:w="1740" w:type="dxa"/>
            <w:shd w:val="clear" w:color="auto" w:fill="auto"/>
            <w:vAlign w:val="center"/>
          </w:tcPr>
          <w:p>
            <w:pPr>
              <w:pStyle w:val="25"/>
              <w:spacing w:line="360" w:lineRule="auto"/>
              <w:ind w:firstLine="0" w:firstLineChars="0"/>
              <w:jc w:val="center"/>
              <w:rPr>
                <w:rFonts w:hAnsi="宋体"/>
              </w:rPr>
            </w:pPr>
            <w:r>
              <w:rPr>
                <w:rFonts w:hint="eastAsia" w:hAnsi="宋体"/>
              </w:rPr>
              <w:t>网店运营与管理</w:t>
            </w:r>
          </w:p>
        </w:tc>
        <w:tc>
          <w:tcPr>
            <w:tcW w:w="5304" w:type="dxa"/>
            <w:shd w:val="clear" w:color="auto" w:fill="auto"/>
            <w:vAlign w:val="center"/>
          </w:tcPr>
          <w:p>
            <w:pPr>
              <w:pStyle w:val="25"/>
              <w:spacing w:line="360" w:lineRule="auto"/>
              <w:ind w:firstLine="0" w:firstLineChars="0"/>
              <w:jc w:val="left"/>
              <w:rPr>
                <w:rFonts w:hAnsi="宋体"/>
              </w:rPr>
            </w:pPr>
            <w:r>
              <w:rPr>
                <w:rFonts w:hint="eastAsia" w:hAnsi="宋体"/>
              </w:rPr>
              <w:t>随着互联网的发展开网店已经成了一种潮流和趋势，但开网店怎么才能盈利成了困扰绝大多数人的一个难题，本课程主要学习淘宝从开店到运营全套的淘宝课程以及相关技巧和方法，旨在提高学员在淘宝商海中整体的竞争力，实现学生的创业梦想。</w:t>
            </w:r>
          </w:p>
        </w:tc>
        <w:tc>
          <w:tcPr>
            <w:tcW w:w="849" w:type="dxa"/>
            <w:shd w:val="clear" w:color="auto" w:fill="auto"/>
            <w:vAlign w:val="center"/>
          </w:tcPr>
          <w:p>
            <w:pPr>
              <w:spacing w:line="360" w:lineRule="auto"/>
              <w:jc w:val="center"/>
              <w:rPr>
                <w:rFonts w:ascii="仿宋" w:hAnsi="仿宋" w:eastAsia="仿宋"/>
                <w:sz w:val="24"/>
              </w:rPr>
            </w:pPr>
            <w:r>
              <w:rPr>
                <w:rFonts w:ascii="仿宋" w:hAnsi="仿宋" w:eastAsia="仿宋"/>
                <w:sz w:val="24"/>
              </w:rPr>
              <w:t>72</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（3）综合实训</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综合实训教学以提升学生综合职业能力为教学目标，与企业合作开发总结实训项目，采取集中实训的教学组织形式，校企教师共同管理和考核学生。通过“企业真实案例”项目，使学生全程参与不同类型项目运作，扮演企业职员角色，多方位、多角度地感受企业环境，接受项目实战，掌握主动就业的制高点，为就业打下坚实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（4）顶岗实习</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顶岗实习是本专业学生职业技能和职业岗位工作能力培养的重要实践教学环节，的最后一个学期（第 6 学期）进行，保证学生顶岗实习的顶岗与其所学专业面向的岗位群基本一致。通过校企合作，实行工学交替、多学期、分阶段安排学生实习。要加强顶岗实习过程管理，切实保障学生的安全与权益构建校企共同指导、共同管理、合作育人的顶岗实习工作机制。</w:t>
      </w:r>
    </w:p>
    <w:p>
      <w:pPr>
        <w:overflowPunct w:val="0"/>
        <w:rPr>
          <w:rFonts w:ascii="黑体" w:hAnsi="黑体" w:eastAsia="黑体"/>
          <w:b/>
          <w:sz w:val="28"/>
          <w:szCs w:val="30"/>
        </w:rPr>
      </w:pPr>
      <w:r>
        <w:rPr>
          <w:rFonts w:hint="eastAsia" w:ascii="黑体" w:hAnsi="黑体" w:eastAsia="黑体"/>
          <w:b/>
          <w:sz w:val="28"/>
          <w:szCs w:val="30"/>
        </w:rPr>
        <w:t>七、教学进程总体安排</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每学年为52周，其中教学时间40周（含复习考试），累计假期12周。1周一般为28学时。顶岗实习一般按每周30小时（1小时折1学时）安排。3年总学时数约为3000学时。1-6学期教学周数分别为：17周、17周、16周、16周、16周、18周。第1～6学期周学时分别为28、28、26、26、26、30学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（2）公共基础课程学时一般占总学时的1/3，累计总学时约为1学年。不同专业技能方向可根据产业人才培养的实际需要在规定的范围内适当调整，上下浮动，但必须保证学生修完公共基础课程的必修内容和学时。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（3）专业技能课程学时一般占总学时的2/3，其中学生在实习单位的实习时间根据专业人才培养方案确定，顶岗实习一般为6个月，在确保学生实习总量的前提下，可根据实际需要，集中或分阶段安排实习时间。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（4）选修课为公共基础选修课和专业选修课，第3、4、5学期分别任选4学时、8学时、8学时。选修课程320学时，其教学时数占总学时的11%。</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2．教学</w:t>
      </w:r>
      <w:r>
        <w:rPr>
          <w:rFonts w:hint="eastAsia" w:ascii="仿宋_GB2312" w:eastAsia="仿宋_GB2312"/>
          <w:sz w:val="24"/>
          <w:szCs w:val="30"/>
        </w:rPr>
        <w:t>进</w:t>
      </w:r>
      <w:r>
        <w:rPr>
          <w:rFonts w:ascii="仿宋_GB2312" w:eastAsia="仿宋_GB2312"/>
          <w:sz w:val="24"/>
          <w:szCs w:val="30"/>
        </w:rPr>
        <w:t>度计划</w:t>
      </w:r>
      <w:r>
        <w:rPr>
          <w:rFonts w:hint="eastAsia" w:ascii="仿宋_GB2312" w:eastAsia="仿宋_GB2312"/>
          <w:sz w:val="24"/>
          <w:szCs w:val="30"/>
        </w:rPr>
        <w:t>安排表</w:t>
      </w:r>
    </w:p>
    <w:tbl>
      <w:tblPr>
        <w:tblStyle w:val="11"/>
        <w:tblpPr w:leftFromText="180" w:rightFromText="180" w:vertAnchor="text" w:horzAnchor="page" w:tblpXSpec="center" w:tblpY="119"/>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567"/>
        <w:gridCol w:w="2977"/>
        <w:gridCol w:w="850"/>
        <w:gridCol w:w="850"/>
        <w:gridCol w:w="567"/>
        <w:gridCol w:w="567"/>
        <w:gridCol w:w="567"/>
        <w:gridCol w:w="567"/>
        <w:gridCol w:w="567"/>
        <w:gridCol w:w="567"/>
        <w:gridCol w:w="55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trPr>
        <w:tc>
          <w:tcPr>
            <w:tcW w:w="1139" w:type="dxa"/>
            <w:gridSpan w:val="2"/>
            <w:vMerge w:val="restart"/>
            <w:vAlign w:val="center"/>
          </w:tcPr>
          <w:p>
            <w:pPr>
              <w:spacing w:before="87"/>
              <w:ind w:right="-20"/>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类</w:t>
            </w:r>
            <w:r>
              <w:rPr>
                <w:rFonts w:hint="eastAsia" w:ascii="仿宋" w:hAnsi="仿宋" w:eastAsia="仿宋" w:cs="黑体"/>
                <w:b/>
                <w:sz w:val="24"/>
              </w:rPr>
              <w:t>别</w:t>
            </w:r>
          </w:p>
        </w:tc>
        <w:tc>
          <w:tcPr>
            <w:tcW w:w="2977" w:type="dxa"/>
            <w:vMerge w:val="restart"/>
            <w:vAlign w:val="center"/>
          </w:tcPr>
          <w:p>
            <w:pPr>
              <w:spacing w:before="87"/>
              <w:ind w:left="868" w:right="846"/>
              <w:jc w:val="center"/>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名</w:t>
            </w:r>
            <w:r>
              <w:rPr>
                <w:rFonts w:hint="eastAsia" w:ascii="仿宋" w:hAnsi="仿宋" w:eastAsia="仿宋" w:cs="黑体"/>
                <w:b/>
                <w:sz w:val="24"/>
              </w:rPr>
              <w:t>称</w:t>
            </w:r>
          </w:p>
        </w:tc>
        <w:tc>
          <w:tcPr>
            <w:tcW w:w="850" w:type="dxa"/>
            <w:vMerge w:val="restart"/>
            <w:vAlign w:val="center"/>
          </w:tcPr>
          <w:p>
            <w:pPr>
              <w:spacing w:before="87"/>
              <w:ind w:right="-20"/>
              <w:jc w:val="center"/>
              <w:rPr>
                <w:rFonts w:ascii="仿宋" w:hAnsi="仿宋" w:eastAsia="仿宋" w:cs="黑体"/>
                <w:b/>
                <w:spacing w:val="-2"/>
                <w:sz w:val="24"/>
              </w:rPr>
            </w:pPr>
            <w:r>
              <w:rPr>
                <w:rFonts w:hint="eastAsia" w:ascii="仿宋" w:hAnsi="仿宋" w:eastAsia="仿宋" w:cs="黑体"/>
                <w:b/>
                <w:spacing w:val="-2"/>
                <w:sz w:val="24"/>
              </w:rPr>
              <w:t>课</w:t>
            </w:r>
            <w:r>
              <w:rPr>
                <w:rFonts w:ascii="仿宋" w:hAnsi="仿宋" w:eastAsia="仿宋" w:cs="黑体"/>
                <w:b/>
                <w:spacing w:val="-2"/>
                <w:sz w:val="24"/>
              </w:rPr>
              <w:t>程</w:t>
            </w:r>
          </w:p>
          <w:p>
            <w:pPr>
              <w:spacing w:before="87"/>
              <w:ind w:right="-20"/>
              <w:jc w:val="center"/>
              <w:rPr>
                <w:rFonts w:ascii="仿宋" w:hAnsi="仿宋" w:eastAsia="仿宋" w:cs="黑体"/>
                <w:b/>
                <w:spacing w:val="-2"/>
                <w:sz w:val="24"/>
              </w:rPr>
            </w:pPr>
            <w:r>
              <w:rPr>
                <w:rFonts w:ascii="仿宋" w:hAnsi="仿宋" w:eastAsia="仿宋" w:cs="黑体"/>
                <w:b/>
                <w:spacing w:val="-2"/>
                <w:sz w:val="24"/>
              </w:rPr>
              <w:t>性质</w:t>
            </w:r>
          </w:p>
        </w:tc>
        <w:tc>
          <w:tcPr>
            <w:tcW w:w="850" w:type="dxa"/>
            <w:vMerge w:val="restart"/>
            <w:vAlign w:val="center"/>
          </w:tcPr>
          <w:p>
            <w:pPr>
              <w:spacing w:before="87"/>
              <w:ind w:right="-20"/>
              <w:jc w:val="center"/>
              <w:rPr>
                <w:rFonts w:ascii="仿宋" w:hAnsi="仿宋" w:eastAsia="仿宋" w:cs="黑体"/>
                <w:b/>
                <w:sz w:val="24"/>
              </w:rPr>
            </w:pPr>
            <w:r>
              <w:rPr>
                <w:rFonts w:hint="eastAsia" w:ascii="仿宋" w:hAnsi="仿宋" w:eastAsia="仿宋" w:cs="黑体"/>
                <w:b/>
                <w:sz w:val="24"/>
              </w:rPr>
              <w:t>总学时</w:t>
            </w:r>
          </w:p>
        </w:tc>
        <w:tc>
          <w:tcPr>
            <w:tcW w:w="3402" w:type="dxa"/>
            <w:gridSpan w:val="6"/>
            <w:vAlign w:val="center"/>
          </w:tcPr>
          <w:p>
            <w:pPr>
              <w:spacing w:line="290" w:lineRule="exact"/>
              <w:ind w:left="450" w:right="-20"/>
              <w:jc w:val="center"/>
              <w:rPr>
                <w:rFonts w:ascii="仿宋" w:hAnsi="仿宋" w:eastAsia="仿宋" w:cs="黑体"/>
                <w:b/>
                <w:sz w:val="24"/>
              </w:rPr>
            </w:pPr>
            <w:r>
              <w:rPr>
                <w:rFonts w:hint="eastAsia" w:ascii="仿宋" w:hAnsi="仿宋" w:eastAsia="仿宋" w:cs="黑体"/>
                <w:b/>
                <w:sz w:val="24"/>
              </w:rPr>
              <w:t>各学</w:t>
            </w:r>
            <w:r>
              <w:rPr>
                <w:rFonts w:hint="eastAsia" w:ascii="仿宋" w:hAnsi="仿宋" w:eastAsia="仿宋" w:cs="黑体"/>
                <w:b/>
                <w:spacing w:val="-2"/>
                <w:sz w:val="24"/>
              </w:rPr>
              <w:t>期</w:t>
            </w:r>
            <w:r>
              <w:rPr>
                <w:rFonts w:hint="eastAsia" w:ascii="仿宋" w:hAnsi="仿宋" w:eastAsia="仿宋" w:cs="黑体"/>
                <w:b/>
                <w:sz w:val="24"/>
              </w:rPr>
              <w:t>周</w:t>
            </w:r>
            <w:r>
              <w:rPr>
                <w:rFonts w:hint="eastAsia" w:ascii="仿宋" w:hAnsi="仿宋" w:eastAsia="仿宋" w:cs="黑体"/>
                <w:b/>
                <w:spacing w:val="-2"/>
                <w:sz w:val="24"/>
              </w:rPr>
              <w:t>数</w:t>
            </w:r>
            <w:r>
              <w:rPr>
                <w:rFonts w:hint="eastAsia" w:ascii="仿宋" w:hAnsi="仿宋" w:eastAsia="仿宋" w:cs="黑体"/>
                <w:b/>
                <w:sz w:val="24"/>
              </w:rPr>
              <w:t>与</w:t>
            </w:r>
            <w:r>
              <w:rPr>
                <w:rFonts w:hint="eastAsia" w:ascii="仿宋" w:hAnsi="仿宋" w:eastAsia="仿宋" w:cs="黑体"/>
                <w:b/>
                <w:spacing w:val="-2"/>
                <w:sz w:val="24"/>
              </w:rPr>
              <w:t>学</w:t>
            </w:r>
            <w:r>
              <w:rPr>
                <w:rFonts w:hint="eastAsia" w:ascii="仿宋" w:hAnsi="仿宋" w:eastAsia="仿宋" w:cs="黑体"/>
                <w:b/>
                <w:sz w:val="24"/>
              </w:rPr>
              <w:t>时</w:t>
            </w:r>
            <w:r>
              <w:rPr>
                <w:rFonts w:hint="eastAsia" w:ascii="仿宋" w:hAnsi="仿宋" w:eastAsia="仿宋" w:cs="黑体"/>
                <w:b/>
                <w:spacing w:val="-2"/>
                <w:sz w:val="24"/>
              </w:rPr>
              <w:t>分</w:t>
            </w:r>
            <w:r>
              <w:rPr>
                <w:rFonts w:hint="eastAsia" w:ascii="仿宋" w:hAnsi="仿宋" w:eastAsia="仿宋" w:cs="黑体"/>
                <w:b/>
                <w:sz w:val="24"/>
              </w:rPr>
              <w:t>配</w:t>
            </w:r>
          </w:p>
        </w:tc>
        <w:tc>
          <w:tcPr>
            <w:tcW w:w="1125" w:type="dxa"/>
            <w:gridSpan w:val="2"/>
            <w:vAlign w:val="center"/>
          </w:tcPr>
          <w:p>
            <w:pPr>
              <w:spacing w:line="290" w:lineRule="exact"/>
              <w:ind w:right="-20"/>
              <w:jc w:val="center"/>
              <w:rPr>
                <w:rFonts w:ascii="仿宋" w:hAnsi="仿宋" w:eastAsia="仿宋" w:cs="黑体"/>
                <w:b/>
                <w:sz w:val="24"/>
              </w:rPr>
            </w:pPr>
            <w:r>
              <w:rPr>
                <w:rFonts w:hint="eastAsia" w:ascii="仿宋" w:hAnsi="仿宋" w:eastAsia="仿宋" w:cs="黑体"/>
                <w:b/>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trPr>
        <w:tc>
          <w:tcPr>
            <w:tcW w:w="1139" w:type="dxa"/>
            <w:gridSpan w:val="2"/>
            <w:vMerge w:val="continue"/>
            <w:vAlign w:val="center"/>
          </w:tcPr>
          <w:p>
            <w:pPr>
              <w:jc w:val="center"/>
              <w:rPr>
                <w:rFonts w:ascii="仿宋" w:hAnsi="仿宋" w:eastAsia="仿宋" w:cs="黑体"/>
                <w:b/>
                <w:sz w:val="24"/>
              </w:rPr>
            </w:pPr>
          </w:p>
        </w:tc>
        <w:tc>
          <w:tcPr>
            <w:tcW w:w="2977" w:type="dxa"/>
            <w:vMerge w:val="continue"/>
            <w:vAlign w:val="center"/>
          </w:tcPr>
          <w:p>
            <w:pPr>
              <w:jc w:val="center"/>
              <w:rPr>
                <w:rFonts w:ascii="仿宋" w:hAnsi="仿宋" w:eastAsia="仿宋" w:cs="黑体"/>
                <w:b/>
                <w:sz w:val="24"/>
              </w:rPr>
            </w:pPr>
          </w:p>
        </w:tc>
        <w:tc>
          <w:tcPr>
            <w:tcW w:w="850" w:type="dxa"/>
            <w:vMerge w:val="continue"/>
          </w:tcPr>
          <w:p>
            <w:pPr>
              <w:rPr>
                <w:rFonts w:ascii="仿宋" w:hAnsi="仿宋" w:eastAsia="仿宋" w:cs="黑体"/>
                <w:b/>
                <w:sz w:val="24"/>
              </w:rPr>
            </w:pPr>
          </w:p>
        </w:tc>
        <w:tc>
          <w:tcPr>
            <w:tcW w:w="850" w:type="dxa"/>
            <w:vMerge w:val="continue"/>
            <w:vAlign w:val="center"/>
          </w:tcPr>
          <w:p>
            <w:pPr>
              <w:jc w:val="center"/>
              <w:rPr>
                <w:rFonts w:ascii="仿宋" w:hAnsi="仿宋" w:eastAsia="仿宋" w:cs="黑体"/>
                <w:b/>
                <w:sz w:val="24"/>
              </w:rPr>
            </w:pP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1</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2</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3</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4</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5</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6</w:t>
            </w:r>
          </w:p>
        </w:tc>
        <w:tc>
          <w:tcPr>
            <w:tcW w:w="558"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试</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restart"/>
            <w:vAlign w:val="center"/>
          </w:tcPr>
          <w:p>
            <w:pPr>
              <w:spacing w:line="360" w:lineRule="auto"/>
              <w:jc w:val="center"/>
              <w:rPr>
                <w:rFonts w:ascii="仿宋" w:hAnsi="仿宋" w:eastAsia="仿宋"/>
                <w:sz w:val="24"/>
              </w:rPr>
            </w:pPr>
            <w:r>
              <w:rPr>
                <w:rFonts w:hint="eastAsia" w:ascii="仿宋" w:hAnsi="仿宋" w:eastAsia="仿宋"/>
                <w:sz w:val="24"/>
              </w:rPr>
              <w:t>公共</w:t>
            </w:r>
          </w:p>
          <w:p>
            <w:pPr>
              <w:spacing w:line="360" w:lineRule="auto"/>
              <w:jc w:val="center"/>
              <w:rPr>
                <w:rFonts w:ascii="仿宋" w:hAnsi="仿宋" w:eastAsia="仿宋"/>
                <w:sz w:val="24"/>
              </w:rPr>
            </w:pPr>
            <w:r>
              <w:rPr>
                <w:rFonts w:hint="eastAsia" w:ascii="仿宋" w:hAnsi="仿宋" w:eastAsia="仿宋"/>
                <w:sz w:val="24"/>
              </w:rPr>
              <w:t>基础课</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职业生涯规划</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职业道德与法律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经济政治与社会</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哲学与人生</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语文</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数学</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英语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计算机应用基础</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体育与健康</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pacing w:val="-12"/>
                <w:sz w:val="24"/>
              </w:rPr>
              <w:t>艺术（或音乐、美术）</w:t>
            </w:r>
          </w:p>
        </w:tc>
        <w:tc>
          <w:tcPr>
            <w:tcW w:w="850" w:type="dxa"/>
          </w:tcPr>
          <w:p>
            <w:pPr>
              <w:spacing w:line="360" w:lineRule="auto"/>
              <w:jc w:val="center"/>
              <w:rPr>
                <w:rFonts w:ascii="仿宋" w:hAnsi="仿宋" w:eastAsia="仿宋"/>
                <w:sz w:val="24"/>
              </w:rPr>
            </w:pPr>
            <w:r>
              <w:rPr>
                <w:rFonts w:hint="eastAsia" w:ascii="仿宋" w:hAnsi="仿宋" w:eastAsia="仿宋"/>
                <w:sz w:val="24"/>
              </w:rPr>
              <w:t>选修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历史</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1064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restart"/>
            <w:vAlign w:val="center"/>
          </w:tcPr>
          <w:p>
            <w:pPr>
              <w:spacing w:line="360" w:lineRule="auto"/>
              <w:jc w:val="center"/>
              <w:rPr>
                <w:rFonts w:ascii="仿宋" w:hAnsi="仿宋" w:eastAsia="仿宋"/>
                <w:sz w:val="24"/>
              </w:rPr>
            </w:pPr>
            <w:r>
              <w:rPr>
                <w:rFonts w:hint="eastAsia" w:ascii="仿宋" w:hAnsi="仿宋" w:eastAsia="仿宋"/>
                <w:sz w:val="24"/>
              </w:rPr>
              <w:t>专</w:t>
            </w:r>
          </w:p>
          <w:p>
            <w:pPr>
              <w:spacing w:line="360" w:lineRule="auto"/>
              <w:jc w:val="center"/>
              <w:rPr>
                <w:rFonts w:ascii="仿宋" w:hAnsi="仿宋" w:eastAsia="仿宋"/>
                <w:sz w:val="24"/>
              </w:rPr>
            </w:pPr>
            <w:r>
              <w:rPr>
                <w:rFonts w:ascii="仿宋" w:hAnsi="仿宋" w:eastAsia="仿宋"/>
                <w:sz w:val="24"/>
              </w:rPr>
              <w:t>业</w:t>
            </w:r>
          </w:p>
          <w:p>
            <w:pPr>
              <w:spacing w:line="360" w:lineRule="auto"/>
              <w:jc w:val="center"/>
              <w:rPr>
                <w:rFonts w:ascii="仿宋" w:hAnsi="仿宋" w:eastAsia="仿宋"/>
                <w:sz w:val="24"/>
              </w:rPr>
            </w:pPr>
            <w:r>
              <w:rPr>
                <w:rFonts w:ascii="仿宋" w:hAnsi="仿宋" w:eastAsia="仿宋"/>
                <w:sz w:val="24"/>
              </w:rPr>
              <w:t>技</w:t>
            </w:r>
          </w:p>
          <w:p>
            <w:pPr>
              <w:spacing w:line="360" w:lineRule="auto"/>
              <w:jc w:val="center"/>
              <w:rPr>
                <w:rFonts w:ascii="仿宋" w:hAnsi="仿宋" w:eastAsia="仿宋"/>
                <w:sz w:val="24"/>
              </w:rPr>
            </w:pPr>
            <w:r>
              <w:rPr>
                <w:rFonts w:ascii="仿宋" w:hAnsi="仿宋" w:eastAsia="仿宋"/>
                <w:sz w:val="24"/>
              </w:rPr>
              <w:t>能</w:t>
            </w:r>
          </w:p>
          <w:p>
            <w:pPr>
              <w:spacing w:line="360" w:lineRule="auto"/>
              <w:jc w:val="center"/>
              <w:rPr>
                <w:rFonts w:ascii="仿宋" w:hAnsi="仿宋" w:eastAsia="仿宋"/>
                <w:sz w:val="24"/>
              </w:rPr>
            </w:pPr>
            <w:r>
              <w:rPr>
                <w:rFonts w:ascii="仿宋" w:hAnsi="仿宋" w:eastAsia="仿宋"/>
                <w:sz w:val="24"/>
              </w:rPr>
              <w:t>课</w:t>
            </w: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专业核心课</w:t>
            </w:r>
          </w:p>
        </w:tc>
        <w:tc>
          <w:tcPr>
            <w:tcW w:w="2977" w:type="dxa"/>
            <w:vAlign w:val="center"/>
          </w:tcPr>
          <w:p>
            <w:pPr>
              <w:pStyle w:val="25"/>
              <w:spacing w:line="360" w:lineRule="auto"/>
              <w:ind w:firstLine="0" w:firstLineChars="0"/>
              <w:jc w:val="center"/>
              <w:rPr>
                <w:rFonts w:hAnsi="宋体"/>
              </w:rPr>
            </w:pPr>
            <w:r>
              <w:rPr>
                <w:rFonts w:hint="eastAsia" w:hAnsi="宋体"/>
              </w:rPr>
              <w:t>OFFICE</w:t>
            </w:r>
            <w:r>
              <w:rPr>
                <w:rFonts w:hAnsi="宋体"/>
              </w:rPr>
              <w:t xml:space="preserve"> </w:t>
            </w:r>
            <w:r>
              <w:rPr>
                <w:rFonts w:hint="eastAsia" w:hAnsi="宋体"/>
              </w:rPr>
              <w:t>2010</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计算机组装与维护</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财税统计知识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管理学原理</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审计基础</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r>
              <w:rPr>
                <w:rFonts w:ascii="仿宋" w:hAnsi="仿宋" w:eastAsia="仿宋"/>
                <w:sz w:val="24"/>
              </w:rPr>
              <w:t>26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基础会计学</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208</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5</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税务会计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财务管理</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820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财务</w:t>
            </w:r>
            <w:r>
              <w:rPr>
                <w:rFonts w:ascii="仿宋_GB2312" w:eastAsia="仿宋_GB2312"/>
                <w:sz w:val="24"/>
                <w:szCs w:val="30"/>
              </w:rPr>
              <w:t>管理</w:t>
            </w:r>
            <w:r>
              <w:rPr>
                <w:rFonts w:hint="eastAsia" w:ascii="仿宋_GB2312" w:eastAsia="仿宋_GB2312"/>
                <w:sz w:val="24"/>
                <w:szCs w:val="30"/>
              </w:rPr>
              <w:t>方向</w:t>
            </w:r>
          </w:p>
        </w:tc>
        <w:tc>
          <w:tcPr>
            <w:tcW w:w="2977" w:type="dxa"/>
            <w:vAlign w:val="center"/>
          </w:tcPr>
          <w:p>
            <w:pPr>
              <w:pStyle w:val="25"/>
              <w:spacing w:line="360" w:lineRule="auto"/>
              <w:ind w:firstLine="0" w:firstLineChars="0"/>
              <w:jc w:val="center"/>
              <w:rPr>
                <w:rFonts w:hAnsi="宋体"/>
              </w:rPr>
            </w:pPr>
            <w:r>
              <w:rPr>
                <w:rFonts w:hint="eastAsia" w:hAnsi="宋体"/>
              </w:rPr>
              <w:t>ERP原理及应用</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会计实务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财务报表分析</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财经应用文写作</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电商营</w:t>
            </w:r>
            <w:r>
              <w:rPr>
                <w:rFonts w:ascii="仿宋_GB2312" w:eastAsia="仿宋_GB2312"/>
                <w:sz w:val="24"/>
                <w:szCs w:val="30"/>
              </w:rPr>
              <w:t>销</w:t>
            </w:r>
            <w:r>
              <w:rPr>
                <w:rFonts w:hint="eastAsia" w:ascii="仿宋_GB2312" w:eastAsia="仿宋_GB2312"/>
                <w:sz w:val="24"/>
                <w:szCs w:val="30"/>
              </w:rPr>
              <w:t>方向</w:t>
            </w:r>
          </w:p>
        </w:tc>
        <w:tc>
          <w:tcPr>
            <w:tcW w:w="2977" w:type="dxa"/>
            <w:vAlign w:val="center"/>
          </w:tcPr>
          <w:p>
            <w:pPr>
              <w:pStyle w:val="25"/>
              <w:spacing w:line="360" w:lineRule="auto"/>
              <w:ind w:firstLine="0" w:firstLineChars="0"/>
              <w:jc w:val="center"/>
              <w:rPr>
                <w:rFonts w:hAnsi="宋体"/>
              </w:rPr>
            </w:pPr>
            <w:r>
              <w:rPr>
                <w:rFonts w:hint="eastAsia" w:hAnsi="宋体"/>
              </w:rPr>
              <w:t>SMM社会化媒体营销</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市场营销</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跨境电商速卖通运营与管理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pStyle w:val="25"/>
              <w:spacing w:line="360" w:lineRule="auto"/>
              <w:ind w:firstLine="0" w:firstLineChars="0"/>
              <w:jc w:val="center"/>
              <w:rPr>
                <w:rFonts w:hAnsi="宋体"/>
              </w:rPr>
            </w:pPr>
            <w:r>
              <w:rPr>
                <w:rFonts w:hint="eastAsia" w:hAnsi="宋体"/>
              </w:rPr>
              <w:t>网店运营与管理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综合实训</w:t>
            </w:r>
          </w:p>
          <w:p>
            <w:pPr>
              <w:spacing w:line="360" w:lineRule="auto"/>
              <w:jc w:val="center"/>
              <w:rPr>
                <w:rFonts w:ascii="仿宋" w:hAnsi="仿宋" w:eastAsia="仿宋"/>
                <w:sz w:val="24"/>
              </w:rPr>
            </w:pPr>
            <w:r>
              <w:rPr>
                <w:rFonts w:hint="eastAsia" w:ascii="仿宋" w:hAnsi="仿宋" w:eastAsia="仿宋"/>
                <w:sz w:val="24"/>
              </w:rPr>
              <w:t>实训</w:t>
            </w:r>
          </w:p>
          <w:p>
            <w:pPr>
              <w:spacing w:line="360" w:lineRule="auto"/>
              <w:jc w:val="center"/>
              <w:rPr>
                <w:rFonts w:ascii="仿宋" w:hAnsi="仿宋" w:eastAsia="仿宋"/>
                <w:sz w:val="24"/>
              </w:rPr>
            </w:pPr>
            <w:r>
              <w:rPr>
                <w:rFonts w:hint="eastAsia" w:ascii="仿宋" w:hAnsi="仿宋" w:eastAsia="仿宋"/>
                <w:sz w:val="24"/>
              </w:rPr>
              <w:t>综合实训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30</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顶岗实习</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30</w:t>
            </w: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exact"/>
        </w:trPr>
        <w:tc>
          <w:tcPr>
            <w:tcW w:w="4116" w:type="dxa"/>
            <w:gridSpan w:val="3"/>
            <w:vAlign w:val="center"/>
          </w:tcPr>
          <w:p>
            <w:pPr>
              <w:spacing w:line="360" w:lineRule="auto"/>
              <w:jc w:val="center"/>
              <w:rPr>
                <w:rFonts w:ascii="仿宋" w:hAnsi="仿宋" w:eastAsia="仿宋"/>
                <w:sz w:val="24"/>
              </w:rPr>
            </w:pPr>
            <w:r>
              <w:rPr>
                <w:rFonts w:hint="eastAsia" w:ascii="仿宋" w:hAnsi="仿宋" w:eastAsia="仿宋"/>
                <w:sz w:val="24"/>
              </w:rPr>
              <w:t>合计：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3180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3．教学</w:t>
      </w:r>
      <w:r>
        <w:rPr>
          <w:rFonts w:hint="eastAsia" w:ascii="仿宋_GB2312" w:eastAsia="仿宋_GB2312"/>
          <w:sz w:val="24"/>
          <w:szCs w:val="30"/>
        </w:rPr>
        <w:t>学</w:t>
      </w:r>
      <w:r>
        <w:rPr>
          <w:rFonts w:ascii="仿宋_GB2312" w:eastAsia="仿宋_GB2312"/>
          <w:sz w:val="24"/>
          <w:szCs w:val="30"/>
        </w:rPr>
        <w:t>时</w:t>
      </w:r>
      <w:r>
        <w:rPr>
          <w:rFonts w:hint="eastAsia" w:ascii="仿宋_GB2312" w:eastAsia="仿宋_GB2312"/>
          <w:sz w:val="24"/>
          <w:szCs w:val="30"/>
        </w:rPr>
        <w:t>分配</w:t>
      </w:r>
      <w:r>
        <w:rPr>
          <w:rFonts w:ascii="仿宋_GB2312" w:eastAsia="仿宋_GB2312"/>
          <w:sz w:val="24"/>
          <w:szCs w:val="30"/>
        </w:rPr>
        <w:t>及比例</w:t>
      </w:r>
      <w:r>
        <w:rPr>
          <w:rFonts w:hint="eastAsia" w:ascii="仿宋_GB2312" w:eastAsia="仿宋_GB2312"/>
          <w:sz w:val="24"/>
          <w:szCs w:val="30"/>
        </w:rPr>
        <w:t>表</w:t>
      </w:r>
    </w:p>
    <w:tbl>
      <w:tblPr>
        <w:tblStyle w:val="12"/>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843"/>
        <w:gridCol w:w="2409"/>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8" w:type="dxa"/>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序号</w:t>
            </w:r>
          </w:p>
        </w:tc>
        <w:tc>
          <w:tcPr>
            <w:tcW w:w="3402" w:type="dxa"/>
            <w:gridSpan w:val="2"/>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课</w:t>
            </w:r>
            <w:r>
              <w:rPr>
                <w:rFonts w:ascii="仿宋_GB2312" w:eastAsia="仿宋_GB2312"/>
                <w:b/>
                <w:kern w:val="0"/>
                <w:sz w:val="24"/>
                <w:szCs w:val="30"/>
              </w:rPr>
              <w:t>程类别</w:t>
            </w:r>
          </w:p>
        </w:tc>
        <w:tc>
          <w:tcPr>
            <w:tcW w:w="2409" w:type="dxa"/>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学</w:t>
            </w:r>
            <w:r>
              <w:rPr>
                <w:rFonts w:ascii="仿宋_GB2312" w:eastAsia="仿宋_GB2312"/>
                <w:b/>
                <w:kern w:val="0"/>
                <w:sz w:val="24"/>
                <w:szCs w:val="30"/>
              </w:rPr>
              <w:t>时数</w:t>
            </w:r>
          </w:p>
        </w:tc>
        <w:tc>
          <w:tcPr>
            <w:tcW w:w="2869" w:type="dxa"/>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w:t>
            </w:r>
          </w:p>
        </w:tc>
        <w:tc>
          <w:tcPr>
            <w:tcW w:w="1559" w:type="dxa"/>
            <w:vMerge w:val="restart"/>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必</w:t>
            </w:r>
            <w:r>
              <w:rPr>
                <w:rFonts w:ascii="仿宋_GB2312" w:eastAsia="仿宋_GB2312"/>
                <w:kern w:val="0"/>
                <w:sz w:val="24"/>
                <w:szCs w:val="30"/>
              </w:rPr>
              <w:t>修课</w:t>
            </w:r>
          </w:p>
        </w:tc>
        <w:tc>
          <w:tcPr>
            <w:tcW w:w="1843"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公</w:t>
            </w:r>
            <w:r>
              <w:rPr>
                <w:rFonts w:ascii="仿宋_GB2312" w:eastAsia="仿宋_GB2312"/>
                <w:kern w:val="0"/>
                <w:sz w:val="24"/>
                <w:szCs w:val="30"/>
              </w:rPr>
              <w:t>共课程</w:t>
            </w:r>
          </w:p>
        </w:tc>
        <w:tc>
          <w:tcPr>
            <w:tcW w:w="2409"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812</w:t>
            </w:r>
          </w:p>
        </w:tc>
        <w:tc>
          <w:tcPr>
            <w:tcW w:w="2869" w:type="dxa"/>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2</w:t>
            </w:r>
          </w:p>
        </w:tc>
        <w:tc>
          <w:tcPr>
            <w:tcW w:w="1559" w:type="dxa"/>
            <w:vMerge w:val="continue"/>
            <w:vAlign w:val="center"/>
          </w:tcPr>
          <w:p>
            <w:pPr>
              <w:overflowPunct w:val="0"/>
              <w:spacing w:line="360" w:lineRule="auto"/>
              <w:jc w:val="center"/>
              <w:rPr>
                <w:rFonts w:ascii="仿宋_GB2312" w:eastAsia="仿宋_GB2312"/>
                <w:kern w:val="0"/>
                <w:sz w:val="24"/>
                <w:szCs w:val="30"/>
              </w:rPr>
            </w:pPr>
          </w:p>
        </w:tc>
        <w:tc>
          <w:tcPr>
            <w:tcW w:w="1843"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专</w:t>
            </w:r>
            <w:r>
              <w:rPr>
                <w:rFonts w:ascii="仿宋_GB2312" w:eastAsia="仿宋_GB2312"/>
                <w:kern w:val="0"/>
                <w:sz w:val="24"/>
                <w:szCs w:val="30"/>
              </w:rPr>
              <w:t>业课程</w:t>
            </w:r>
          </w:p>
        </w:tc>
        <w:tc>
          <w:tcPr>
            <w:tcW w:w="2409"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w:t>
            </w:r>
            <w:r>
              <w:rPr>
                <w:rFonts w:ascii="仿宋_GB2312" w:eastAsia="仿宋_GB2312"/>
                <w:kern w:val="0"/>
                <w:sz w:val="24"/>
                <w:szCs w:val="30"/>
              </w:rPr>
              <w:t>954</w:t>
            </w:r>
          </w:p>
        </w:tc>
        <w:tc>
          <w:tcPr>
            <w:tcW w:w="2869" w:type="dxa"/>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61.45%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3</w:t>
            </w:r>
          </w:p>
        </w:tc>
        <w:tc>
          <w:tcPr>
            <w:tcW w:w="1559" w:type="dxa"/>
            <w:vMerge w:val="restart"/>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选</w:t>
            </w:r>
            <w:r>
              <w:rPr>
                <w:rFonts w:ascii="仿宋_GB2312" w:eastAsia="仿宋_GB2312"/>
                <w:kern w:val="0"/>
                <w:sz w:val="24"/>
                <w:szCs w:val="30"/>
              </w:rPr>
              <w:t>修课</w:t>
            </w:r>
          </w:p>
        </w:tc>
        <w:tc>
          <w:tcPr>
            <w:tcW w:w="1843"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公</w:t>
            </w:r>
            <w:r>
              <w:rPr>
                <w:rFonts w:ascii="仿宋_GB2312" w:eastAsia="仿宋_GB2312"/>
                <w:kern w:val="0"/>
                <w:sz w:val="24"/>
                <w:szCs w:val="30"/>
              </w:rPr>
              <w:t>共课程</w:t>
            </w:r>
          </w:p>
        </w:tc>
        <w:tc>
          <w:tcPr>
            <w:tcW w:w="2409"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252</w:t>
            </w:r>
          </w:p>
        </w:tc>
        <w:tc>
          <w:tcPr>
            <w:tcW w:w="2869" w:type="dxa"/>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4</w:t>
            </w:r>
          </w:p>
        </w:tc>
        <w:tc>
          <w:tcPr>
            <w:tcW w:w="1559" w:type="dxa"/>
            <w:vMerge w:val="continue"/>
            <w:vAlign w:val="center"/>
          </w:tcPr>
          <w:p>
            <w:pPr>
              <w:overflowPunct w:val="0"/>
              <w:spacing w:line="360" w:lineRule="auto"/>
              <w:jc w:val="center"/>
              <w:rPr>
                <w:rFonts w:ascii="仿宋_GB2312" w:eastAsia="仿宋_GB2312"/>
                <w:kern w:val="0"/>
                <w:sz w:val="24"/>
                <w:szCs w:val="30"/>
              </w:rPr>
            </w:pPr>
          </w:p>
        </w:tc>
        <w:tc>
          <w:tcPr>
            <w:tcW w:w="1843"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专</w:t>
            </w:r>
            <w:r>
              <w:rPr>
                <w:rFonts w:ascii="仿宋_GB2312" w:eastAsia="仿宋_GB2312"/>
                <w:kern w:val="0"/>
                <w:sz w:val="24"/>
                <w:szCs w:val="30"/>
              </w:rPr>
              <w:t>业课程</w:t>
            </w:r>
          </w:p>
        </w:tc>
        <w:tc>
          <w:tcPr>
            <w:tcW w:w="2409"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162</w:t>
            </w:r>
          </w:p>
        </w:tc>
        <w:tc>
          <w:tcPr>
            <w:tcW w:w="2869" w:type="dxa"/>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合计:</w:t>
            </w:r>
          </w:p>
        </w:tc>
        <w:tc>
          <w:tcPr>
            <w:tcW w:w="2409"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3</w:t>
            </w:r>
            <w:r>
              <w:rPr>
                <w:rFonts w:ascii="仿宋_GB2312" w:eastAsia="仿宋_GB2312"/>
                <w:kern w:val="0"/>
                <w:sz w:val="24"/>
                <w:szCs w:val="30"/>
              </w:rPr>
              <w:t>180</w:t>
            </w:r>
          </w:p>
        </w:tc>
        <w:tc>
          <w:tcPr>
            <w:tcW w:w="2869"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理</w:t>
            </w:r>
            <w:r>
              <w:rPr>
                <w:rFonts w:ascii="仿宋_GB2312" w:eastAsia="仿宋_GB2312"/>
                <w:kern w:val="0"/>
                <w:sz w:val="24"/>
                <w:szCs w:val="30"/>
              </w:rPr>
              <w:t>论教学</w:t>
            </w:r>
            <w:r>
              <w:rPr>
                <w:rFonts w:hint="eastAsia" w:ascii="仿宋_GB2312" w:eastAsia="仿宋_GB2312"/>
                <w:kern w:val="0"/>
                <w:sz w:val="24"/>
                <w:szCs w:val="30"/>
              </w:rPr>
              <w:t>比</w:t>
            </w:r>
            <w:r>
              <w:rPr>
                <w:rFonts w:ascii="仿宋_GB2312" w:eastAsia="仿宋_GB2312"/>
                <w:kern w:val="0"/>
                <w:sz w:val="24"/>
                <w:szCs w:val="30"/>
              </w:rPr>
              <w:t>重</w:t>
            </w:r>
          </w:p>
        </w:tc>
        <w:tc>
          <w:tcPr>
            <w:tcW w:w="2409"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1334</w:t>
            </w:r>
          </w:p>
        </w:tc>
        <w:tc>
          <w:tcPr>
            <w:tcW w:w="2869"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41.95</w:t>
            </w:r>
            <w:r>
              <w:rPr>
                <w:rFonts w:hint="eastAsia" w:ascii="仿宋_GB2312" w:eastAsia="仿宋_GB2312"/>
                <w:kern w:val="0"/>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实</w:t>
            </w:r>
            <w:r>
              <w:rPr>
                <w:rFonts w:ascii="仿宋_GB2312" w:eastAsia="仿宋_GB2312"/>
                <w:kern w:val="0"/>
                <w:sz w:val="24"/>
                <w:szCs w:val="30"/>
              </w:rPr>
              <w:t>践教学</w:t>
            </w:r>
            <w:r>
              <w:rPr>
                <w:rFonts w:hint="eastAsia" w:ascii="仿宋_GB2312" w:eastAsia="仿宋_GB2312"/>
                <w:kern w:val="0"/>
                <w:sz w:val="24"/>
                <w:szCs w:val="30"/>
              </w:rPr>
              <w:t>比重</w:t>
            </w:r>
          </w:p>
        </w:tc>
        <w:tc>
          <w:tcPr>
            <w:tcW w:w="2409"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w:t>
            </w:r>
            <w:r>
              <w:rPr>
                <w:rFonts w:ascii="仿宋_GB2312" w:eastAsia="仿宋_GB2312"/>
                <w:kern w:val="0"/>
                <w:sz w:val="24"/>
                <w:szCs w:val="30"/>
              </w:rPr>
              <w:t>846</w:t>
            </w:r>
          </w:p>
        </w:tc>
        <w:tc>
          <w:tcPr>
            <w:tcW w:w="2869"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58.05</w:t>
            </w:r>
            <w:r>
              <w:rPr>
                <w:rFonts w:hint="eastAsia" w:ascii="仿宋_GB2312" w:eastAsia="仿宋_GB2312"/>
                <w:kern w:val="0"/>
                <w:sz w:val="24"/>
                <w:szCs w:val="30"/>
              </w:rPr>
              <w:t>%</w:t>
            </w:r>
          </w:p>
        </w:tc>
      </w:tr>
    </w:tbl>
    <w:p>
      <w:pPr>
        <w:overflowPunct w:val="0"/>
        <w:rPr>
          <w:rFonts w:ascii="黑体" w:hAnsi="黑体" w:eastAsia="黑体"/>
          <w:b/>
          <w:sz w:val="28"/>
          <w:szCs w:val="30"/>
        </w:rPr>
      </w:pPr>
      <w:r>
        <w:rPr>
          <w:rFonts w:hint="eastAsia" w:ascii="黑体" w:hAnsi="黑体" w:eastAsia="黑体"/>
          <w:b/>
          <w:sz w:val="28"/>
          <w:szCs w:val="30"/>
        </w:rPr>
        <w:t>八、实施保障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1、师资队伍</w:t>
      </w:r>
    </w:p>
    <w:p>
      <w:pPr>
        <w:pStyle w:val="25"/>
        <w:spacing w:line="360" w:lineRule="auto"/>
        <w:ind w:firstLine="480"/>
        <w:jc w:val="left"/>
        <w:rPr>
          <w:rFonts w:hAnsi="宋体"/>
          <w:szCs w:val="24"/>
        </w:rPr>
      </w:pPr>
      <w:bookmarkStart w:id="5" w:name="_Toc307894555"/>
      <w:r>
        <w:rPr>
          <w:rFonts w:hint="eastAsia"/>
          <w:szCs w:val="30"/>
        </w:rPr>
        <w:t>中等职业学校要建设高素质的“双师型”专业教师队伍，要有较高水平的专业骨干教师和学科带头人，并根据教学需要聘请行业企业技术骨干或能工巧匠担任兼职教师。</w:t>
      </w:r>
      <w:bookmarkEnd w:id="5"/>
    </w:p>
    <w:p>
      <w:pPr>
        <w:pStyle w:val="25"/>
        <w:spacing w:line="360" w:lineRule="auto"/>
        <w:ind w:firstLine="480"/>
        <w:jc w:val="left"/>
        <w:rPr>
          <w:szCs w:val="30"/>
        </w:rPr>
      </w:pPr>
      <w:bookmarkStart w:id="6" w:name="_Toc307894556"/>
      <w:r>
        <w:rPr>
          <w:rFonts w:hint="eastAsia"/>
          <w:szCs w:val="30"/>
        </w:rPr>
        <w:t>（1）双师结构</w:t>
      </w:r>
    </w:p>
    <w:p>
      <w:pPr>
        <w:pStyle w:val="25"/>
        <w:spacing w:line="360" w:lineRule="auto"/>
        <w:ind w:firstLine="480"/>
        <w:jc w:val="left"/>
        <w:rPr>
          <w:szCs w:val="30"/>
        </w:rPr>
      </w:pPr>
      <w:r>
        <w:rPr>
          <w:rFonts w:hint="eastAsia"/>
          <w:szCs w:val="30"/>
        </w:rPr>
        <w:t>现有可从事会计电算化专业教学的专业基础课、专业课教师13名，其中双师型教师7名，高级职称7名。</w:t>
      </w:r>
    </w:p>
    <w:p>
      <w:pPr>
        <w:pStyle w:val="25"/>
        <w:spacing w:line="360" w:lineRule="auto"/>
        <w:ind w:firstLine="480"/>
        <w:jc w:val="left"/>
        <w:rPr>
          <w:szCs w:val="30"/>
        </w:rPr>
      </w:pPr>
      <w:r>
        <w:rPr>
          <w:rFonts w:hint="eastAsia"/>
          <w:szCs w:val="30"/>
        </w:rPr>
        <w:t>（2）专业认证证书</w:t>
      </w:r>
    </w:p>
    <w:p>
      <w:pPr>
        <w:pStyle w:val="25"/>
        <w:spacing w:line="360" w:lineRule="auto"/>
        <w:ind w:firstLine="480"/>
        <w:jc w:val="left"/>
        <w:rPr>
          <w:szCs w:val="30"/>
        </w:rPr>
      </w:pPr>
      <w:r>
        <w:rPr>
          <w:rFonts w:hint="eastAsia"/>
          <w:szCs w:val="30"/>
        </w:rPr>
        <w:t>我校专业教师均具有多年工作、实战经验，并获得CNCIW,Autodesk等行业相关讲师认证及教师任职资格证书。</w:t>
      </w:r>
    </w:p>
    <w:bookmarkEnd w:id="6"/>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2、教学设施</w:t>
      </w:r>
    </w:p>
    <w:p>
      <w:pPr>
        <w:pStyle w:val="25"/>
        <w:spacing w:line="360" w:lineRule="auto"/>
        <w:ind w:firstLine="480"/>
        <w:jc w:val="left"/>
        <w:rPr>
          <w:szCs w:val="30"/>
        </w:rPr>
      </w:pPr>
      <w:r>
        <w:rPr>
          <w:rFonts w:hint="eastAsia"/>
          <w:szCs w:val="30"/>
        </w:rPr>
        <w:t>本专业应配备校内实训实习室和校外实训基地。</w:t>
      </w:r>
    </w:p>
    <w:p>
      <w:pPr>
        <w:spacing w:line="360" w:lineRule="auto"/>
        <w:ind w:firstLine="480" w:firstLineChars="200"/>
        <w:rPr>
          <w:rFonts w:ascii="仿宋_GB2312" w:eastAsia="仿宋_GB2312"/>
          <w:sz w:val="24"/>
          <w:szCs w:val="30"/>
        </w:rPr>
      </w:pPr>
      <w:bookmarkStart w:id="7" w:name="_Toc307894559"/>
      <w:r>
        <w:rPr>
          <w:rFonts w:hint="eastAsia" w:ascii="仿宋_GB2312" w:eastAsia="仿宋_GB2312"/>
          <w:sz w:val="24"/>
          <w:szCs w:val="30"/>
        </w:rPr>
        <w:t>校内实训实习建有会计信息化实训、会计手工帐实训、网络营</w:t>
      </w:r>
      <w:r>
        <w:rPr>
          <w:rFonts w:ascii="仿宋_GB2312" w:eastAsia="仿宋_GB2312"/>
          <w:sz w:val="24"/>
          <w:szCs w:val="30"/>
        </w:rPr>
        <w:t>销</w:t>
      </w:r>
      <w:r>
        <w:rPr>
          <w:rFonts w:hint="eastAsia" w:ascii="仿宋_GB2312" w:eastAsia="仿宋_GB2312"/>
          <w:sz w:val="24"/>
          <w:szCs w:val="30"/>
        </w:rPr>
        <w:t>综合实训、视觉营销综合实训等实训室，主要设施设备及数量见下表。各实训室在室内场景布置上，力求仿真职业环境，为本</w:t>
      </w:r>
      <w:r>
        <w:rPr>
          <w:rFonts w:ascii="仿宋_GB2312" w:eastAsia="仿宋_GB2312"/>
          <w:sz w:val="24"/>
          <w:szCs w:val="30"/>
        </w:rPr>
        <w:t>专业</w:t>
      </w:r>
      <w:r>
        <w:rPr>
          <w:rFonts w:hint="eastAsia" w:ascii="仿宋_GB2312" w:eastAsia="仿宋_GB2312"/>
          <w:sz w:val="24"/>
          <w:szCs w:val="30"/>
        </w:rPr>
        <w:t>综合岗位实践准备实习内容，能完成教学计划所规定的所有实训、实习项目，能满足结合专业教学开展职业资格鉴定、考证和社会服务的需要。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（1）会计信息化实训室</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根据专业教学需要，学校投入100万元，现已建成建立1个会计电算化实训室，并且配备了相应的会计软件。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（2）ERP 企业模拟经营沙盘实训室。</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以45座为例。按每4人一组配备，供配备15组，能供45个学生同时使用。配备相应的实训设备和资料。</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3250"/>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序</w:t>
            </w:r>
            <w:r>
              <w:rPr>
                <w:rFonts w:ascii="仿宋_GB2312" w:eastAsia="仿宋_GB2312"/>
                <w:b/>
                <w:kern w:val="0"/>
                <w:sz w:val="24"/>
                <w:szCs w:val="30"/>
              </w:rPr>
              <w:t>号</w:t>
            </w:r>
          </w:p>
        </w:tc>
        <w:tc>
          <w:tcPr>
            <w:tcW w:w="2268" w:type="dxa"/>
            <w:vMerge w:val="restart"/>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实</w:t>
            </w:r>
            <w:r>
              <w:rPr>
                <w:rFonts w:ascii="仿宋_GB2312" w:eastAsia="仿宋_GB2312"/>
                <w:b/>
                <w:kern w:val="0"/>
                <w:sz w:val="24"/>
                <w:szCs w:val="30"/>
              </w:rPr>
              <w:t>训室名称</w:t>
            </w:r>
          </w:p>
        </w:tc>
        <w:tc>
          <w:tcPr>
            <w:tcW w:w="5324" w:type="dxa"/>
            <w:gridSpan w:val="2"/>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主要</w:t>
            </w:r>
            <w:r>
              <w:rPr>
                <w:rFonts w:ascii="仿宋_GB2312" w:eastAsia="仿宋_GB2312"/>
                <w:b/>
                <w:kern w:val="0"/>
                <w:sz w:val="24"/>
                <w:szCs w:val="30"/>
              </w:rPr>
              <w:t>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704" w:type="dxa"/>
            <w:vMerge w:val="continue"/>
            <w:vAlign w:val="center"/>
          </w:tcPr>
          <w:p>
            <w:pPr>
              <w:overflowPunct w:val="0"/>
              <w:spacing w:line="360" w:lineRule="auto"/>
              <w:jc w:val="center"/>
              <w:rPr>
                <w:rFonts w:ascii="仿宋_GB2312" w:eastAsia="仿宋_GB2312"/>
                <w:b/>
                <w:kern w:val="0"/>
                <w:sz w:val="24"/>
                <w:szCs w:val="30"/>
              </w:rPr>
            </w:pPr>
          </w:p>
        </w:tc>
        <w:tc>
          <w:tcPr>
            <w:tcW w:w="2268" w:type="dxa"/>
            <w:vMerge w:val="continue"/>
            <w:vAlign w:val="center"/>
          </w:tcPr>
          <w:p>
            <w:pPr>
              <w:overflowPunct w:val="0"/>
              <w:spacing w:line="360" w:lineRule="auto"/>
              <w:jc w:val="center"/>
              <w:rPr>
                <w:rFonts w:ascii="仿宋_GB2312" w:eastAsia="仿宋_GB2312"/>
                <w:b/>
                <w:kern w:val="0"/>
                <w:sz w:val="24"/>
                <w:szCs w:val="30"/>
              </w:rPr>
            </w:pPr>
          </w:p>
        </w:tc>
        <w:tc>
          <w:tcPr>
            <w:tcW w:w="3250" w:type="dxa"/>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名</w:t>
            </w:r>
            <w:r>
              <w:rPr>
                <w:rFonts w:ascii="仿宋_GB2312" w:eastAsia="仿宋_GB2312"/>
                <w:b/>
                <w:kern w:val="0"/>
                <w:sz w:val="24"/>
                <w:szCs w:val="30"/>
              </w:rPr>
              <w:t>称</w:t>
            </w:r>
          </w:p>
        </w:tc>
        <w:tc>
          <w:tcPr>
            <w:tcW w:w="2074" w:type="dxa"/>
            <w:vAlign w:val="center"/>
          </w:tcPr>
          <w:p>
            <w:pPr>
              <w:overflowPunct w:val="0"/>
              <w:spacing w:line="360" w:lineRule="auto"/>
              <w:jc w:val="center"/>
              <w:rPr>
                <w:rFonts w:ascii="仿宋_GB2312" w:eastAsia="仿宋_GB2312"/>
                <w:b/>
                <w:kern w:val="0"/>
                <w:sz w:val="24"/>
                <w:szCs w:val="30"/>
              </w:rPr>
            </w:pPr>
            <w:r>
              <w:rPr>
                <w:rFonts w:hint="eastAsia" w:ascii="仿宋_GB2312" w:eastAsia="仿宋_GB2312"/>
                <w:b/>
                <w:kern w:val="0"/>
                <w:sz w:val="24"/>
                <w:szCs w:val="30"/>
              </w:rPr>
              <w:t>数</w:t>
            </w:r>
            <w:r>
              <w:rPr>
                <w:rFonts w:ascii="仿宋_GB2312" w:eastAsia="仿宋_GB2312"/>
                <w:b/>
                <w:kern w:val="0"/>
                <w:sz w:val="24"/>
                <w:szCs w:val="30"/>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w:t>
            </w:r>
          </w:p>
        </w:tc>
        <w:tc>
          <w:tcPr>
            <w:tcW w:w="2268" w:type="dxa"/>
            <w:vMerge w:val="restart"/>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会计电算化实训室</w:t>
            </w: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会计电算化软件</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电脑</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多媒体教学设备</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服务器及网络设备</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工作台、椅</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会计信息化实训资料</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若干套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2</w:t>
            </w:r>
          </w:p>
        </w:tc>
        <w:tc>
          <w:tcPr>
            <w:tcW w:w="2268" w:type="dxa"/>
            <w:vMerge w:val="restart"/>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ERP 企业模拟经营沙盘实训室</w:t>
            </w: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电脑</w:t>
            </w:r>
          </w:p>
        </w:tc>
        <w:tc>
          <w:tcPr>
            <w:tcW w:w="2074"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4</w:t>
            </w:r>
            <w:r>
              <w:rPr>
                <w:rFonts w:hint="eastAsia" w:ascii="仿宋_GB2312" w:eastAsia="仿宋_GB2312"/>
                <w:kern w:val="0"/>
                <w:sz w:val="24"/>
                <w:szCs w:val="30"/>
              </w:rPr>
              <w:t>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多媒体教学设备</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企业模拟经营电子沙盘</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企业模拟经营物理沙盘</w:t>
            </w:r>
          </w:p>
        </w:tc>
        <w:tc>
          <w:tcPr>
            <w:tcW w:w="2074"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4</w:t>
            </w:r>
            <w:r>
              <w:rPr>
                <w:rFonts w:hint="eastAsia" w:ascii="仿宋_GB2312" w:eastAsia="仿宋_GB2312"/>
                <w:kern w:val="0"/>
                <w:sz w:val="24"/>
                <w:szCs w:val="30"/>
              </w:rPr>
              <w:t>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桌、椅</w:t>
            </w:r>
          </w:p>
        </w:tc>
        <w:tc>
          <w:tcPr>
            <w:tcW w:w="2074" w:type="dxa"/>
            <w:vAlign w:val="center"/>
          </w:tcPr>
          <w:p>
            <w:pPr>
              <w:overflowPunct w:val="0"/>
              <w:spacing w:line="360" w:lineRule="auto"/>
              <w:jc w:val="center"/>
              <w:rPr>
                <w:rFonts w:ascii="仿宋_GB2312" w:eastAsia="仿宋_GB2312"/>
                <w:kern w:val="0"/>
                <w:sz w:val="24"/>
                <w:szCs w:val="30"/>
              </w:rPr>
            </w:pPr>
            <w:r>
              <w:rPr>
                <w:rFonts w:ascii="仿宋_GB2312" w:eastAsia="仿宋_GB2312"/>
                <w:kern w:val="0"/>
                <w:sz w:val="24"/>
                <w:szCs w:val="30"/>
              </w:rPr>
              <w:t>4</w:t>
            </w:r>
            <w:r>
              <w:rPr>
                <w:rFonts w:hint="eastAsia" w:ascii="仿宋_GB2312" w:eastAsia="仿宋_GB2312"/>
                <w:kern w:val="0"/>
                <w:sz w:val="24"/>
                <w:szCs w:val="30"/>
              </w:rPr>
              <w:t>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overflowPunct w:val="0"/>
              <w:spacing w:line="360" w:lineRule="auto"/>
              <w:jc w:val="center"/>
              <w:rPr>
                <w:rFonts w:ascii="仿宋_GB2312" w:eastAsia="仿宋_GB2312"/>
                <w:kern w:val="0"/>
                <w:sz w:val="24"/>
                <w:szCs w:val="30"/>
              </w:rPr>
            </w:pPr>
          </w:p>
        </w:tc>
        <w:tc>
          <w:tcPr>
            <w:tcW w:w="2268" w:type="dxa"/>
            <w:vMerge w:val="continue"/>
            <w:vAlign w:val="center"/>
          </w:tcPr>
          <w:p>
            <w:pPr>
              <w:overflowPunct w:val="0"/>
              <w:spacing w:line="360" w:lineRule="auto"/>
              <w:jc w:val="center"/>
              <w:rPr>
                <w:rFonts w:ascii="仿宋_GB2312" w:eastAsia="仿宋_GB2312"/>
                <w:kern w:val="0"/>
                <w:sz w:val="24"/>
                <w:szCs w:val="30"/>
              </w:rPr>
            </w:pPr>
          </w:p>
        </w:tc>
        <w:tc>
          <w:tcPr>
            <w:tcW w:w="3250"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企业模拟经营实训资料</w:t>
            </w:r>
          </w:p>
        </w:tc>
        <w:tc>
          <w:tcPr>
            <w:tcW w:w="2074" w:type="dxa"/>
            <w:vAlign w:val="center"/>
          </w:tcPr>
          <w:p>
            <w:pPr>
              <w:overflowPunct w:val="0"/>
              <w:spacing w:line="360" w:lineRule="auto"/>
              <w:jc w:val="center"/>
              <w:rPr>
                <w:rFonts w:ascii="仿宋_GB2312" w:eastAsia="仿宋_GB2312"/>
                <w:kern w:val="0"/>
                <w:sz w:val="24"/>
                <w:szCs w:val="30"/>
              </w:rPr>
            </w:pPr>
            <w:r>
              <w:rPr>
                <w:rFonts w:hint="eastAsia" w:ascii="仿宋_GB2312" w:eastAsia="仿宋_GB2312"/>
                <w:kern w:val="0"/>
                <w:sz w:val="24"/>
                <w:szCs w:val="30"/>
              </w:rPr>
              <w:t>2套</w:t>
            </w:r>
          </w:p>
        </w:tc>
      </w:tr>
    </w:tbl>
    <w:p>
      <w:pPr>
        <w:pStyle w:val="25"/>
        <w:spacing w:line="360" w:lineRule="auto"/>
        <w:ind w:firstLine="480"/>
        <w:jc w:val="left"/>
        <w:rPr>
          <w:szCs w:val="30"/>
        </w:rPr>
      </w:pPr>
      <w:r>
        <w:rPr>
          <w:rFonts w:hint="eastAsia"/>
          <w:szCs w:val="30"/>
        </w:rPr>
        <w:t>本专业综合实训以校内实训基地为主。学校根据本专业认知教学需要，依托校外企业财务部门、会计服务机构等建立若干专业认知实习和会计顶岗实习基地。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3、教学资源</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1）所有教材均是国家或行业规划教材或校本教材。学校</w:t>
      </w:r>
      <w:r>
        <w:rPr>
          <w:rFonts w:ascii="仿宋_GB2312" w:eastAsia="仿宋_GB2312"/>
          <w:sz w:val="24"/>
          <w:szCs w:val="30"/>
        </w:rPr>
        <w:t>也</w:t>
      </w:r>
      <w:r>
        <w:rPr>
          <w:rFonts w:hint="eastAsia" w:ascii="仿宋_GB2312" w:eastAsia="仿宋_GB2312"/>
          <w:sz w:val="24"/>
          <w:szCs w:val="30"/>
        </w:rPr>
        <w:t>重视教材建设，鼓励教师积极参加职业院校系列规划教材编写和适合本专业具有特色的校内教材的编写工作。所有实验、课程综合练习、实习与实训项目都有相应的较为完善的指导书，能够满足实践教学需要，在无统编教材或统编教材不合适的情况下，采取自编教材（或补充讲义）。增加教科研经费，教研、科研再上一个新台阶，并增强产学研的结合，校企双方技术人员开展互兼互聘的技术合作等。</w:t>
      </w:r>
    </w:p>
    <w:tbl>
      <w:tblPr>
        <w:tblStyle w:val="11"/>
        <w:tblW w:w="8931" w:type="dxa"/>
        <w:jc w:val="center"/>
        <w:tblLayout w:type="fixed"/>
        <w:tblCellMar>
          <w:top w:w="0" w:type="dxa"/>
          <w:left w:w="108" w:type="dxa"/>
          <w:bottom w:w="0" w:type="dxa"/>
          <w:right w:w="108" w:type="dxa"/>
        </w:tblCellMar>
      </w:tblPr>
      <w:tblGrid>
        <w:gridCol w:w="710"/>
        <w:gridCol w:w="2976"/>
        <w:gridCol w:w="2121"/>
        <w:gridCol w:w="2274"/>
        <w:gridCol w:w="850"/>
      </w:tblGrid>
      <w:tr>
        <w:tblPrEx>
          <w:tblCellMar>
            <w:top w:w="0" w:type="dxa"/>
            <w:left w:w="108" w:type="dxa"/>
            <w:bottom w:w="0" w:type="dxa"/>
            <w:right w:w="108" w:type="dxa"/>
          </w:tblCellMar>
        </w:tblPrEx>
        <w:trPr>
          <w:trHeight w:val="286" w:hRule="atLeast"/>
          <w:tblHeader/>
          <w:jc w:val="cent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b/>
              </w:rPr>
            </w:pPr>
            <w:r>
              <w:rPr>
                <w:rFonts w:hint="eastAsia" w:hAnsi="宋体"/>
                <w:b/>
              </w:rPr>
              <w:t>序号</w:t>
            </w:r>
          </w:p>
        </w:tc>
        <w:tc>
          <w:tcPr>
            <w:tcW w:w="2976" w:type="dxa"/>
            <w:tcBorders>
              <w:top w:val="single" w:color="auto" w:sz="4" w:space="0"/>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b/>
              </w:rPr>
            </w:pPr>
            <w:r>
              <w:rPr>
                <w:rFonts w:hint="eastAsia" w:hAnsi="宋体"/>
                <w:b/>
              </w:rPr>
              <w:t>课程名称</w:t>
            </w:r>
          </w:p>
        </w:tc>
        <w:tc>
          <w:tcPr>
            <w:tcW w:w="2121" w:type="dxa"/>
            <w:tcBorders>
              <w:top w:val="single" w:color="auto" w:sz="4" w:space="0"/>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b/>
              </w:rPr>
            </w:pPr>
            <w:r>
              <w:rPr>
                <w:rFonts w:hint="eastAsia" w:hAnsi="宋体"/>
                <w:b/>
              </w:rPr>
              <w:t>教材名称</w:t>
            </w:r>
          </w:p>
        </w:tc>
        <w:tc>
          <w:tcPr>
            <w:tcW w:w="2274" w:type="dxa"/>
            <w:tcBorders>
              <w:top w:val="single" w:color="auto" w:sz="4" w:space="0"/>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b/>
              </w:rPr>
            </w:pPr>
            <w:r>
              <w:rPr>
                <w:rFonts w:hint="eastAsia" w:hAnsi="宋体"/>
                <w:b/>
              </w:rPr>
              <w:t>出版社</w:t>
            </w:r>
          </w:p>
        </w:tc>
        <w:tc>
          <w:tcPr>
            <w:tcW w:w="850" w:type="dxa"/>
            <w:tcBorders>
              <w:top w:val="single" w:color="auto" w:sz="4" w:space="0"/>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b/>
              </w:rPr>
            </w:pPr>
            <w:r>
              <w:rPr>
                <w:rFonts w:hint="eastAsia" w:hAnsi="宋体"/>
                <w:b/>
              </w:rPr>
              <w:t>备注</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w:t>
            </w:r>
          </w:p>
        </w:tc>
        <w:tc>
          <w:tcPr>
            <w:tcW w:w="2976" w:type="dxa"/>
            <w:tcBorders>
              <w:top w:val="nil"/>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计算机应用与网络基础教程</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计算机操作基础</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w:t>
            </w:r>
          </w:p>
        </w:tc>
        <w:tc>
          <w:tcPr>
            <w:tcW w:w="2976" w:type="dxa"/>
            <w:tcBorders>
              <w:top w:val="nil"/>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OFFICE 2010（上、下册）</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Office办公自动化</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3</w:t>
            </w:r>
          </w:p>
        </w:tc>
        <w:tc>
          <w:tcPr>
            <w:tcW w:w="2976" w:type="dxa"/>
            <w:tcBorders>
              <w:top w:val="nil"/>
              <w:left w:val="nil"/>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计算机组装与维护</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计算机组装与维护</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4</w:t>
            </w:r>
          </w:p>
        </w:tc>
        <w:tc>
          <w:tcPr>
            <w:tcW w:w="2976" w:type="dxa"/>
            <w:tcBorders>
              <w:top w:val="nil"/>
              <w:left w:val="nil"/>
              <w:bottom w:val="single" w:color="auto" w:sz="4" w:space="0"/>
              <w:right w:val="single" w:color="auto" w:sz="4"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财务报表分析</w:t>
            </w:r>
          </w:p>
        </w:tc>
        <w:tc>
          <w:tcPr>
            <w:tcW w:w="2121" w:type="dxa"/>
            <w:tcBorders>
              <w:top w:val="single" w:color="auto" w:sz="4" w:space="0"/>
              <w:left w:val="nil"/>
              <w:bottom w:val="single" w:color="auto" w:sz="4" w:space="0"/>
              <w:right w:val="single" w:color="auto" w:sz="4"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财务报表分析</w:t>
            </w:r>
          </w:p>
        </w:tc>
        <w:tc>
          <w:tcPr>
            <w:tcW w:w="2274"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北京邮电出版社</w:t>
            </w:r>
          </w:p>
        </w:tc>
        <w:tc>
          <w:tcPr>
            <w:tcW w:w="850"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4" w:space="0"/>
              <w:bottom w:val="single" w:color="auto" w:sz="4" w:space="0"/>
              <w:right w:val="single" w:color="auto" w:sz="4"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5</w:t>
            </w:r>
          </w:p>
        </w:tc>
        <w:tc>
          <w:tcPr>
            <w:tcW w:w="2976" w:type="dxa"/>
            <w:tcBorders>
              <w:top w:val="nil"/>
              <w:left w:val="nil"/>
              <w:bottom w:val="single" w:color="auto" w:sz="4" w:space="0"/>
              <w:right w:val="single" w:color="auto" w:sz="4"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税务会计</w:t>
            </w:r>
          </w:p>
        </w:tc>
        <w:tc>
          <w:tcPr>
            <w:tcW w:w="2121" w:type="dxa"/>
            <w:tcBorders>
              <w:top w:val="nil"/>
              <w:left w:val="nil"/>
              <w:bottom w:val="single" w:color="auto" w:sz="4" w:space="0"/>
              <w:right w:val="single" w:color="auto" w:sz="4"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税务会计</w:t>
            </w:r>
          </w:p>
        </w:tc>
        <w:tc>
          <w:tcPr>
            <w:tcW w:w="2274"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北京邮电出版社</w:t>
            </w:r>
          </w:p>
        </w:tc>
        <w:tc>
          <w:tcPr>
            <w:tcW w:w="850"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6</w:t>
            </w:r>
          </w:p>
        </w:tc>
        <w:tc>
          <w:tcPr>
            <w:tcW w:w="2976"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财经应用文写作</w:t>
            </w:r>
          </w:p>
        </w:tc>
        <w:tc>
          <w:tcPr>
            <w:tcW w:w="2121"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财经应用文写作</w:t>
            </w:r>
          </w:p>
        </w:tc>
        <w:tc>
          <w:tcPr>
            <w:tcW w:w="2274"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北京邮电出版社</w:t>
            </w:r>
          </w:p>
        </w:tc>
        <w:tc>
          <w:tcPr>
            <w:tcW w:w="850"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7</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基础会计学</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基础会计学</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8</w:t>
            </w:r>
          </w:p>
        </w:tc>
        <w:tc>
          <w:tcPr>
            <w:tcW w:w="2976"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语文</w:t>
            </w:r>
          </w:p>
        </w:tc>
        <w:tc>
          <w:tcPr>
            <w:tcW w:w="2121"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语文</w:t>
            </w:r>
          </w:p>
        </w:tc>
        <w:tc>
          <w:tcPr>
            <w:tcW w:w="2274"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r>
              <w:rPr>
                <w:rFonts w:hint="eastAsia" w:hAnsi="宋体"/>
                <w:sz w:val="22"/>
                <w:szCs w:val="22"/>
              </w:rPr>
              <w:t>语文出版社</w:t>
            </w:r>
          </w:p>
        </w:tc>
        <w:tc>
          <w:tcPr>
            <w:tcW w:w="850" w:type="dxa"/>
            <w:tcBorders>
              <w:top w:val="nil"/>
              <w:left w:val="nil"/>
              <w:bottom w:val="single" w:color="auto" w:sz="8" w:space="0"/>
              <w:right w:val="single" w:color="auto" w:sz="8" w:space="0"/>
            </w:tcBorders>
            <w:shd w:val="clear" w:color="000000" w:fill="FFFFFF"/>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9</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数学</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数学</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语文出版社</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10</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外语</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外语</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语文出版社</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11</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体育</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体育</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人民教育出版社</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12</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职业生涯规划</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职业生涯规划</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西北工业大学</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13</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职业道德与法律</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职业道德与法律</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西北工业大学</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14</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经济政治与社会</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经济政治与社会</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西北工业大学</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15</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哲学与人生</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哲学与人生</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中国传媒大学</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16</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就业指导</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IT精英职业导航</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17</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ERP原理及应用</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ERP原理及应用</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18</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财务管理</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ERP原理及应用</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19</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管理学原理</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ERP原理及应用</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大连理工大学出版社</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20</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市场营销</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ERP原理及应用</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21</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SMM社会化媒体营销</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SMM社会化媒体营销</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22</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跨境电商速卖通运营与管理</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跨境电商速卖通运营与管理</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23</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财税统计知识</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财税统计知识</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24</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网店运营与管理</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网店运营与管理</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新华教育集团</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自编</w:t>
            </w: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25</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审计基础</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审计基础</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人民出版社</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r>
        <w:tblPrEx>
          <w:tblCellMar>
            <w:top w:w="0" w:type="dxa"/>
            <w:left w:w="108" w:type="dxa"/>
            <w:bottom w:w="0" w:type="dxa"/>
            <w:right w:w="108" w:type="dxa"/>
          </w:tblCellMar>
        </w:tblPrEx>
        <w:trPr>
          <w:trHeight w:val="437" w:hRule="atLeast"/>
          <w:jc w:val="center"/>
        </w:trPr>
        <w:tc>
          <w:tcPr>
            <w:tcW w:w="710" w:type="dxa"/>
            <w:tcBorders>
              <w:top w:val="nil"/>
              <w:left w:val="single" w:color="auto" w:sz="8" w:space="0"/>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26</w:t>
            </w:r>
          </w:p>
        </w:tc>
        <w:tc>
          <w:tcPr>
            <w:tcW w:w="2976"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初级会计实务</w:t>
            </w:r>
          </w:p>
        </w:tc>
        <w:tc>
          <w:tcPr>
            <w:tcW w:w="2121"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初级会计实务</w:t>
            </w:r>
          </w:p>
        </w:tc>
        <w:tc>
          <w:tcPr>
            <w:tcW w:w="2274"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r>
              <w:rPr>
                <w:rFonts w:hint="eastAsia" w:hAnsi="宋体"/>
                <w:sz w:val="22"/>
                <w:szCs w:val="22"/>
              </w:rPr>
              <w:t>人民出版社</w:t>
            </w:r>
          </w:p>
        </w:tc>
        <w:tc>
          <w:tcPr>
            <w:tcW w:w="850" w:type="dxa"/>
            <w:tcBorders>
              <w:top w:val="nil"/>
              <w:left w:val="nil"/>
              <w:bottom w:val="single" w:color="auto" w:sz="8" w:space="0"/>
              <w:right w:val="single" w:color="auto" w:sz="8" w:space="0"/>
            </w:tcBorders>
            <w:shd w:val="clear" w:color="auto" w:fill="auto"/>
            <w:vAlign w:val="center"/>
          </w:tcPr>
          <w:p>
            <w:pPr>
              <w:pStyle w:val="25"/>
              <w:spacing w:line="360" w:lineRule="auto"/>
              <w:ind w:firstLine="0" w:firstLineChars="0"/>
              <w:jc w:val="center"/>
              <w:rPr>
                <w:rFonts w:hAnsi="宋体"/>
                <w:sz w:val="22"/>
                <w:szCs w:val="22"/>
              </w:rPr>
            </w:pPr>
          </w:p>
        </w:tc>
      </w:tr>
    </w:tbl>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2）学校有完整的具有符合上级主管部门颁布的本专业指导性人才培养方案精神的校内实施性教学计划和实施性教学大纲。结合建筑</w:t>
      </w:r>
      <w:r>
        <w:rPr>
          <w:rFonts w:ascii="仿宋_GB2312" w:eastAsia="仿宋_GB2312"/>
          <w:sz w:val="24"/>
          <w:szCs w:val="30"/>
        </w:rPr>
        <w:t>装饰行业</w:t>
      </w:r>
      <w:r>
        <w:rPr>
          <w:rFonts w:hint="eastAsia" w:ascii="仿宋_GB2312" w:eastAsia="仿宋_GB2312"/>
          <w:sz w:val="24"/>
          <w:szCs w:val="30"/>
        </w:rPr>
        <w:t>发展状况，紧贴市场需求，以房屋建筑施工、工程监理、工程质量检测等职业能力培养为主线，直接引入行业领军企业，合作开发校企合作项目和实行“工学结合”特色实习实训的模块化课程体系。</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3）通过细化专业职业技能，突出针对性、实用性和实践性；重新整合和优化课程结构，增强专业课程之间的关联度，重设专业基础能力课程体系，持续更新专业核心技能课程，核心技能实训教学环节全部引入企业真实工作任务。</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4）开设实战操作类课程及实训，调整专业实训时间，增设专业跟岗实训环节，在真实工作环境中开展企业全岗位实训，从而使参与师生能够更加深入地了解企业的运营管理等内部运作的模式，提升学生在计算</w:t>
      </w:r>
      <w:r>
        <w:rPr>
          <w:rFonts w:ascii="仿宋_GB2312" w:eastAsia="仿宋_GB2312"/>
          <w:sz w:val="24"/>
          <w:szCs w:val="30"/>
        </w:rPr>
        <w:t>机应用操作、计算机维修、平面设计</w:t>
      </w:r>
      <w:r>
        <w:rPr>
          <w:rFonts w:hint="eastAsia" w:ascii="仿宋_GB2312" w:eastAsia="仿宋_GB2312"/>
          <w:sz w:val="24"/>
          <w:szCs w:val="30"/>
        </w:rPr>
        <w:t>等方面的专业技能。</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5）在教材与教法改革中，组建由专兼教师组成的课程团队，校企合作开发建设实习实训教材；基于项目化教学，开发校本课程和配套信息化资源。进一步普及智慧课堂的应用，推进“教学练做创”一体化教学模式改革，响应国家对“互联网+”政策对教育的侧重和支持，探索中职生电子商务实践创业操作平台的建设和普及应用。</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6）制定《会计电算化专业校内实训教师岗位职责》，建立《会计电算化专业学生校内实训管理细则》。建立真实的工作环境、建立满足实训用的资料库、编写会计模拟实训指导书、制定学习成绩评价标准。</w:t>
      </w:r>
    </w:p>
    <w:p>
      <w:pPr>
        <w:overflowPunct w:val="0"/>
        <w:spacing w:line="360" w:lineRule="auto"/>
        <w:ind w:firstLine="460" w:firstLineChars="192"/>
        <w:rPr>
          <w:rFonts w:hAnsi="宋体"/>
        </w:rPr>
      </w:pPr>
      <w:r>
        <w:rPr>
          <w:rFonts w:hint="eastAsia" w:ascii="仿宋_GB2312" w:eastAsia="仿宋_GB2312"/>
          <w:sz w:val="24"/>
          <w:szCs w:val="30"/>
        </w:rPr>
        <w:t>7）制定和完善实训基地管理制度以及各实训基地运行管理文件，形成具有规范化、系列化的实训基地规章制度，包括设备管理制度、实训教师实践教学指导工作规范、学生实训过程管理制度、基地安全管理制度等。</w:t>
      </w:r>
    </w:p>
    <w:tbl>
      <w:tblPr>
        <w:tblStyle w:val="11"/>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175"/>
        <w:gridCol w:w="5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blHeader/>
          <w:jc w:val="center"/>
        </w:trPr>
        <w:tc>
          <w:tcPr>
            <w:tcW w:w="760" w:type="dxa"/>
            <w:vAlign w:val="center"/>
          </w:tcPr>
          <w:p>
            <w:pPr>
              <w:snapToGrid w:val="0"/>
              <w:spacing w:line="360" w:lineRule="auto"/>
              <w:jc w:val="center"/>
              <w:rPr>
                <w:rFonts w:ascii="仿宋_GB2312" w:hAnsi="宋体" w:eastAsia="仿宋_GB2312"/>
                <w:b/>
                <w:szCs w:val="21"/>
              </w:rPr>
            </w:pPr>
            <w:r>
              <w:rPr>
                <w:rFonts w:hint="eastAsia" w:ascii="仿宋_GB2312" w:hAnsi="宋体" w:eastAsia="仿宋_GB2312"/>
                <w:b/>
                <w:szCs w:val="21"/>
              </w:rPr>
              <w:t>序号</w:t>
            </w:r>
          </w:p>
        </w:tc>
        <w:tc>
          <w:tcPr>
            <w:tcW w:w="2175" w:type="dxa"/>
            <w:vAlign w:val="center"/>
          </w:tcPr>
          <w:p>
            <w:pPr>
              <w:snapToGrid w:val="0"/>
              <w:spacing w:line="360" w:lineRule="auto"/>
              <w:ind w:firstLine="200"/>
              <w:jc w:val="center"/>
              <w:rPr>
                <w:rFonts w:ascii="仿宋_GB2312" w:hAnsi="宋体" w:eastAsia="仿宋_GB2312"/>
                <w:b/>
                <w:szCs w:val="21"/>
              </w:rPr>
            </w:pPr>
            <w:r>
              <w:rPr>
                <w:rFonts w:hint="eastAsia" w:ascii="仿宋_GB2312" w:hAnsi="宋体" w:eastAsia="仿宋_GB2312"/>
                <w:b/>
                <w:kern w:val="0"/>
                <w:szCs w:val="21"/>
              </w:rPr>
              <w:t>制度名称</w:t>
            </w:r>
          </w:p>
        </w:tc>
        <w:tc>
          <w:tcPr>
            <w:tcW w:w="5708" w:type="dxa"/>
            <w:vAlign w:val="center"/>
          </w:tcPr>
          <w:p>
            <w:pPr>
              <w:snapToGrid w:val="0"/>
              <w:spacing w:line="360" w:lineRule="auto"/>
              <w:jc w:val="center"/>
              <w:rPr>
                <w:rFonts w:ascii="仿宋_GB2312" w:hAnsi="宋体" w:eastAsia="仿宋_GB2312"/>
                <w:b/>
                <w:szCs w:val="21"/>
              </w:rPr>
            </w:pPr>
            <w:r>
              <w:rPr>
                <w:rFonts w:hint="eastAsia" w:ascii="仿宋_GB2312" w:hAnsi="宋体" w:eastAsia="仿宋_GB2312"/>
                <w:b/>
                <w:kern w:val="0"/>
                <w:szCs w:val="21"/>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1</w:t>
            </w:r>
          </w:p>
        </w:tc>
        <w:tc>
          <w:tcPr>
            <w:tcW w:w="2175" w:type="dxa"/>
            <w:vAlign w:val="center"/>
          </w:tcPr>
          <w:p>
            <w:pPr>
              <w:snapToGrid w:val="0"/>
              <w:spacing w:line="360" w:lineRule="auto"/>
              <w:jc w:val="center"/>
              <w:rPr>
                <w:rFonts w:ascii="仿宋_GB2312" w:hAnsi="宋体" w:eastAsia="仿宋_GB2312"/>
                <w:kern w:val="0"/>
                <w:szCs w:val="21"/>
              </w:rPr>
            </w:pPr>
            <w:r>
              <w:fldChar w:fldCharType="begin"/>
            </w:r>
            <w:r>
              <w:instrText xml:space="preserve"> HYPERLINK \l "_Toc345071556" </w:instrText>
            </w:r>
            <w:r>
              <w:fldChar w:fldCharType="separate"/>
            </w:r>
            <w:r>
              <w:rPr>
                <w:rFonts w:hint="eastAsia" w:ascii="仿宋_GB2312" w:hAnsi="宋体" w:eastAsia="仿宋_GB2312"/>
                <w:kern w:val="0"/>
                <w:szCs w:val="21"/>
              </w:rPr>
              <w:t>实训教学管理规定</w:t>
            </w:r>
            <w:r>
              <w:rPr>
                <w:rFonts w:hint="eastAsia" w:ascii="仿宋_GB2312" w:hAnsi="宋体" w:eastAsia="仿宋_GB2312"/>
                <w:kern w:val="0"/>
                <w:szCs w:val="21"/>
              </w:rPr>
              <w:fldChar w:fldCharType="end"/>
            </w:r>
          </w:p>
        </w:tc>
        <w:tc>
          <w:tcPr>
            <w:tcW w:w="5708" w:type="dxa"/>
            <w:vAlign w:val="center"/>
          </w:tcPr>
          <w:p>
            <w:pPr>
              <w:autoSpaceDE w:val="0"/>
              <w:autoSpaceDN w:val="0"/>
              <w:adjustRightInd w:val="0"/>
              <w:snapToGrid w:val="0"/>
              <w:spacing w:line="360" w:lineRule="auto"/>
              <w:rPr>
                <w:rFonts w:ascii="仿宋_GB2312" w:hAnsi="宋体" w:eastAsia="仿宋_GB2312"/>
                <w:kern w:val="0"/>
                <w:szCs w:val="21"/>
              </w:rPr>
            </w:pPr>
            <w:r>
              <w:rPr>
                <w:rFonts w:hint="eastAsia" w:ascii="仿宋_GB2312" w:hAnsi="宋体" w:eastAsia="仿宋_GB2312"/>
                <w:kern w:val="0"/>
                <w:szCs w:val="21"/>
              </w:rPr>
              <w:t>进一步加强实训教学管理，建立正常的实训教学秩序，实现实训教学管理科学化、规范化、不断提高实训教学质量和管理水平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2</w:t>
            </w:r>
          </w:p>
        </w:tc>
        <w:tc>
          <w:tcPr>
            <w:tcW w:w="2175" w:type="dxa"/>
            <w:vAlign w:val="center"/>
          </w:tcPr>
          <w:p>
            <w:pPr>
              <w:snapToGrid w:val="0"/>
              <w:spacing w:line="360" w:lineRule="auto"/>
              <w:jc w:val="center"/>
              <w:rPr>
                <w:rFonts w:ascii="仿宋_GB2312" w:hAnsi="宋体" w:eastAsia="仿宋_GB2312"/>
                <w:kern w:val="0"/>
                <w:szCs w:val="21"/>
              </w:rPr>
            </w:pPr>
            <w:r>
              <w:fldChar w:fldCharType="begin"/>
            </w:r>
            <w:r>
              <w:instrText xml:space="preserve"> HYPERLINK \l "_Toc345071557" </w:instrText>
            </w:r>
            <w:r>
              <w:fldChar w:fldCharType="separate"/>
            </w:r>
            <w:r>
              <w:rPr>
                <w:rFonts w:hint="eastAsia" w:ascii="仿宋_GB2312" w:hAnsi="宋体" w:eastAsia="仿宋_GB2312"/>
                <w:kern w:val="0"/>
                <w:szCs w:val="21"/>
              </w:rPr>
              <w:t>关于加强实践教学指导教师及管理队伍建设的意见</w:t>
            </w:r>
            <w:r>
              <w:rPr>
                <w:rFonts w:hint="eastAsia" w:ascii="仿宋_GB2312" w:hAnsi="宋体" w:eastAsia="仿宋_GB2312"/>
                <w:kern w:val="0"/>
                <w:szCs w:val="21"/>
              </w:rPr>
              <w:fldChar w:fldCharType="end"/>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kern w:val="0"/>
                <w:szCs w:val="21"/>
              </w:rPr>
              <w:t>根据教育部《关于全面提高高等职业教育教学质量的若干意见(教高〔2006〕16号)》文件精神和高等院校教师任职资格条例，加强实践性教学环节的管理，提高实践教学质量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3</w:t>
            </w:r>
          </w:p>
        </w:tc>
        <w:tc>
          <w:tcPr>
            <w:tcW w:w="2175" w:type="dxa"/>
            <w:vAlign w:val="center"/>
          </w:tcPr>
          <w:p>
            <w:pPr>
              <w:snapToGrid w:val="0"/>
              <w:spacing w:line="360" w:lineRule="auto"/>
              <w:jc w:val="center"/>
              <w:rPr>
                <w:rFonts w:ascii="仿宋_GB2312" w:hAnsi="宋体" w:eastAsia="仿宋_GB2312"/>
                <w:kern w:val="0"/>
                <w:szCs w:val="21"/>
              </w:rPr>
            </w:pPr>
            <w:r>
              <w:fldChar w:fldCharType="begin"/>
            </w:r>
            <w:r>
              <w:instrText xml:space="preserve"> HYPERLINK \l "_Toc345071558" </w:instrText>
            </w:r>
            <w:r>
              <w:fldChar w:fldCharType="separate"/>
            </w:r>
            <w:r>
              <w:rPr>
                <w:rFonts w:hint="eastAsia" w:ascii="仿宋_GB2312" w:hAnsi="宋体" w:eastAsia="仿宋_GB2312"/>
                <w:kern w:val="0"/>
                <w:szCs w:val="21"/>
              </w:rPr>
              <w:t>关于加强学生职业能力训练与职业资格鉴定工作的意见</w:t>
            </w:r>
            <w:r>
              <w:rPr>
                <w:rFonts w:hint="eastAsia" w:ascii="仿宋_GB2312" w:hAnsi="宋体" w:eastAsia="仿宋_GB2312"/>
                <w:kern w:val="0"/>
                <w:szCs w:val="21"/>
              </w:rPr>
              <w:fldChar w:fldCharType="end"/>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szCs w:val="21"/>
              </w:rPr>
              <w:t>加强学校实验实训教学，提高学生的职业技能，增强学生的动手能力，促进学校职业资格鉴定工作的开展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4</w:t>
            </w:r>
          </w:p>
        </w:tc>
        <w:tc>
          <w:tcPr>
            <w:tcW w:w="2175" w:type="dxa"/>
            <w:vAlign w:val="center"/>
          </w:tcPr>
          <w:p>
            <w:pPr>
              <w:snapToGrid w:val="0"/>
              <w:spacing w:line="360" w:lineRule="auto"/>
              <w:jc w:val="center"/>
              <w:rPr>
                <w:rFonts w:ascii="仿宋_GB2312" w:hAnsi="宋体" w:eastAsia="仿宋_GB2312"/>
                <w:kern w:val="0"/>
                <w:szCs w:val="21"/>
              </w:rPr>
            </w:pPr>
            <w:r>
              <w:fldChar w:fldCharType="begin"/>
            </w:r>
            <w:r>
              <w:instrText xml:space="preserve"> HYPERLINK \l "_Toc345071560" </w:instrText>
            </w:r>
            <w:r>
              <w:fldChar w:fldCharType="separate"/>
            </w:r>
            <w:r>
              <w:rPr>
                <w:rFonts w:hint="eastAsia" w:ascii="仿宋_GB2312" w:hAnsi="宋体" w:eastAsia="仿宋_GB2312"/>
                <w:kern w:val="0"/>
                <w:szCs w:val="21"/>
              </w:rPr>
              <w:t>校内实训基地管理办法</w:t>
            </w:r>
            <w:r>
              <w:rPr>
                <w:rFonts w:hint="eastAsia" w:ascii="仿宋_GB2312" w:hAnsi="宋体" w:eastAsia="仿宋_GB2312"/>
                <w:kern w:val="0"/>
                <w:szCs w:val="21"/>
              </w:rPr>
              <w:fldChar w:fldCharType="end"/>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szCs w:val="21"/>
              </w:rPr>
              <w:t>为了实现实训教学工作的科学化、规范化管理,强化实训基地建设，建立良好的实训教学秩序，培养学生进行科学实训的能力,观察问题、分析问题和解决问题的能力，培养学生严肃认真的科学态度，树立“严谨、求实”的科学作风，保障学校的实训教学质量和提高科学研究水平，提高办学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5</w:t>
            </w:r>
          </w:p>
        </w:tc>
        <w:tc>
          <w:tcPr>
            <w:tcW w:w="2175" w:type="dxa"/>
            <w:vAlign w:val="center"/>
          </w:tcPr>
          <w:p>
            <w:pPr>
              <w:spacing w:line="360" w:lineRule="auto"/>
              <w:jc w:val="center"/>
              <w:rPr>
                <w:rFonts w:ascii="仿宋_GB2312" w:hAnsi="宋体" w:eastAsia="仿宋_GB2312"/>
                <w:kern w:val="0"/>
                <w:szCs w:val="21"/>
              </w:rPr>
            </w:pPr>
            <w:r>
              <w:fldChar w:fldCharType="begin"/>
            </w:r>
            <w:r>
              <w:instrText xml:space="preserve"> HYPERLINK \l "_Toc345071561" </w:instrText>
            </w:r>
            <w:r>
              <w:fldChar w:fldCharType="separate"/>
            </w:r>
            <w:r>
              <w:rPr>
                <w:rFonts w:hint="eastAsia" w:ascii="仿宋_GB2312" w:hAnsi="宋体" w:eastAsia="仿宋_GB2312"/>
                <w:kern w:val="0"/>
                <w:szCs w:val="21"/>
              </w:rPr>
              <w:t>实训室管理办法</w:t>
            </w:r>
            <w:r>
              <w:rPr>
                <w:rFonts w:hint="eastAsia" w:ascii="仿宋_GB2312" w:hAnsi="宋体" w:eastAsia="仿宋_GB2312"/>
                <w:kern w:val="0"/>
                <w:szCs w:val="21"/>
              </w:rPr>
              <w:fldChar w:fldCharType="end"/>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kern w:val="0"/>
                <w:szCs w:val="21"/>
              </w:rPr>
              <w:t>强化安全意识，完善安全措施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6</w:t>
            </w:r>
          </w:p>
        </w:tc>
        <w:tc>
          <w:tcPr>
            <w:tcW w:w="2175" w:type="dxa"/>
            <w:vAlign w:val="center"/>
          </w:tcPr>
          <w:p>
            <w:pPr>
              <w:snapToGrid w:val="0"/>
              <w:spacing w:line="360" w:lineRule="auto"/>
              <w:jc w:val="center"/>
              <w:rPr>
                <w:rFonts w:ascii="仿宋_GB2312" w:hAnsi="宋体" w:eastAsia="仿宋_GB2312"/>
                <w:kern w:val="0"/>
                <w:szCs w:val="21"/>
              </w:rPr>
            </w:pPr>
            <w:r>
              <w:fldChar w:fldCharType="begin"/>
            </w:r>
            <w:r>
              <w:instrText xml:space="preserve"> HYPERLINK \l "_Toc345071563" </w:instrText>
            </w:r>
            <w:r>
              <w:fldChar w:fldCharType="separate"/>
            </w:r>
            <w:r>
              <w:rPr>
                <w:rFonts w:hint="eastAsia" w:ascii="仿宋_GB2312" w:hAnsi="宋体" w:eastAsia="仿宋_GB2312"/>
                <w:kern w:val="0"/>
                <w:szCs w:val="21"/>
              </w:rPr>
              <w:t>设备管理办法</w:t>
            </w:r>
            <w:r>
              <w:rPr>
                <w:rFonts w:hint="eastAsia" w:ascii="仿宋_GB2312" w:hAnsi="宋体" w:eastAsia="仿宋_GB2312"/>
                <w:kern w:val="0"/>
                <w:szCs w:val="21"/>
              </w:rPr>
              <w:fldChar w:fldCharType="end"/>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szCs w:val="21"/>
              </w:rPr>
              <w:t>贯彻勤俭办学方针，树立为教学、科研服务的思想，逐步充实和更新，并加强仪器设备的管理，提高使用效率和投资效益，以满足教学、科研的需要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60" w:type="dxa"/>
            <w:vAlign w:val="center"/>
          </w:tcPr>
          <w:p>
            <w:pPr>
              <w:snapToGrid w:val="0"/>
              <w:spacing w:line="360" w:lineRule="auto"/>
              <w:ind w:firstLine="200"/>
              <w:rPr>
                <w:rFonts w:ascii="仿宋_GB2312" w:hAnsi="宋体" w:eastAsia="仿宋_GB2312"/>
                <w:szCs w:val="21"/>
              </w:rPr>
            </w:pPr>
            <w:r>
              <w:rPr>
                <w:rFonts w:hint="eastAsia" w:ascii="仿宋_GB2312" w:hAnsi="宋体" w:eastAsia="仿宋_GB2312"/>
                <w:szCs w:val="21"/>
              </w:rPr>
              <w:t>7</w:t>
            </w:r>
          </w:p>
        </w:tc>
        <w:tc>
          <w:tcPr>
            <w:tcW w:w="2175" w:type="dxa"/>
            <w:vAlign w:val="center"/>
          </w:tcPr>
          <w:p>
            <w:pPr>
              <w:snapToGrid w:val="0"/>
              <w:spacing w:line="360" w:lineRule="auto"/>
              <w:jc w:val="center"/>
              <w:rPr>
                <w:rFonts w:ascii="仿宋_GB2312" w:hAnsi="宋体" w:eastAsia="仿宋_GB2312"/>
                <w:kern w:val="0"/>
                <w:szCs w:val="21"/>
              </w:rPr>
            </w:pPr>
            <w:r>
              <w:fldChar w:fldCharType="begin"/>
            </w:r>
            <w:r>
              <w:instrText xml:space="preserve"> HYPERLINK \l "_Toc345071564" </w:instrText>
            </w:r>
            <w:r>
              <w:fldChar w:fldCharType="separate"/>
            </w:r>
            <w:r>
              <w:rPr>
                <w:rFonts w:hint="eastAsia" w:ascii="仿宋_GB2312" w:hAnsi="宋体" w:eastAsia="仿宋_GB2312"/>
                <w:kern w:val="0"/>
                <w:szCs w:val="21"/>
              </w:rPr>
              <w:t>实训基地材料、低值品、易耗品，危险品管理办法</w:t>
            </w:r>
            <w:r>
              <w:rPr>
                <w:rFonts w:hint="eastAsia" w:ascii="仿宋_GB2312" w:hAnsi="宋体" w:eastAsia="仿宋_GB2312"/>
                <w:kern w:val="0"/>
                <w:szCs w:val="21"/>
              </w:rPr>
              <w:fldChar w:fldCharType="end"/>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szCs w:val="21"/>
              </w:rPr>
              <w:t>为了贯彻勤俭办学的方针，加强学校实训基地的材料、低值品、易耗品、危险品(以下筒称物品)的科学管理及合理使用，保证教学、科研和生产等工作的顺利进行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60" w:type="dxa"/>
            <w:vAlign w:val="center"/>
          </w:tcPr>
          <w:p>
            <w:pPr>
              <w:snapToGrid w:val="0"/>
              <w:spacing w:line="360" w:lineRule="auto"/>
              <w:ind w:firstLine="200"/>
              <w:rPr>
                <w:rFonts w:ascii="仿宋_GB2312" w:hAnsi="宋体" w:eastAsia="仿宋_GB2312"/>
                <w:szCs w:val="21"/>
              </w:rPr>
            </w:pPr>
            <w:r>
              <w:rPr>
                <w:rFonts w:ascii="仿宋_GB2312" w:hAnsi="宋体" w:eastAsia="仿宋_GB2312"/>
                <w:szCs w:val="21"/>
              </w:rPr>
              <w:t>8</w:t>
            </w:r>
          </w:p>
        </w:tc>
        <w:tc>
          <w:tcPr>
            <w:tcW w:w="2175" w:type="dxa"/>
            <w:vAlign w:val="center"/>
          </w:tcPr>
          <w:p>
            <w:pPr>
              <w:snapToGrid w:val="0"/>
              <w:spacing w:line="360" w:lineRule="auto"/>
              <w:jc w:val="center"/>
              <w:rPr>
                <w:rFonts w:ascii="仿宋_GB2312" w:hAnsi="宋体" w:eastAsia="仿宋_GB2312"/>
                <w:kern w:val="0"/>
                <w:szCs w:val="21"/>
              </w:rPr>
            </w:pPr>
            <w:r>
              <w:rPr>
                <w:rFonts w:hint="eastAsia" w:ascii="仿宋_GB2312" w:hAnsi="宋体" w:eastAsia="仿宋_GB2312"/>
                <w:kern w:val="0"/>
                <w:szCs w:val="21"/>
              </w:rPr>
              <w:t>实训基地档案管理办法</w:t>
            </w:r>
          </w:p>
        </w:tc>
        <w:tc>
          <w:tcPr>
            <w:tcW w:w="5708" w:type="dxa"/>
            <w:vAlign w:val="center"/>
          </w:tcPr>
          <w:p>
            <w:pPr>
              <w:spacing w:line="360" w:lineRule="auto"/>
              <w:ind w:firstLine="200"/>
              <w:rPr>
                <w:rFonts w:ascii="仿宋_GB2312" w:hAnsi="宋体" w:eastAsia="仿宋_GB2312"/>
                <w:szCs w:val="21"/>
              </w:rPr>
            </w:pPr>
            <w:r>
              <w:rPr>
                <w:rFonts w:hint="eastAsia" w:ascii="仿宋_GB2312" w:hAnsi="宋体" w:eastAsia="仿宋_GB2312"/>
                <w:szCs w:val="21"/>
              </w:rPr>
              <w:t>科学规范地做好实训室工作的档案管理及基本信息的收集、整理工作，</w:t>
            </w:r>
          </w:p>
        </w:tc>
      </w:tr>
      <w:bookmarkEnd w:id="7"/>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4、教学方法</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本专业教学安排坚持学历教育与岗位培训相融合、职业能力与职业素养兼顾，结合各学校具体情况，有针对性地培养系统化设计人才培养方案。</w:t>
      </w:r>
    </w:p>
    <w:p>
      <w:pPr>
        <w:overflowPunct w:val="0"/>
        <w:spacing w:line="360" w:lineRule="auto"/>
        <w:ind w:firstLine="340" w:firstLineChars="142"/>
        <w:rPr>
          <w:rFonts w:ascii="仿宋_GB2312" w:eastAsia="仿宋_GB2312"/>
          <w:color w:val="FF0000"/>
          <w:sz w:val="24"/>
          <w:szCs w:val="30"/>
        </w:rPr>
      </w:pPr>
      <w:r>
        <w:rPr>
          <w:rFonts w:hint="eastAsia" w:ascii="仿宋_GB2312" w:eastAsia="仿宋_GB2312"/>
          <w:sz w:val="24"/>
          <w:szCs w:val="30"/>
        </w:rPr>
        <w:t>1）</w:t>
      </w:r>
      <w:r>
        <w:rPr>
          <w:rFonts w:ascii="仿宋_GB2312" w:eastAsia="仿宋_GB2312"/>
          <w:sz w:val="24"/>
          <w:szCs w:val="30"/>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坚持“德技并重”的培养原则，提高学生的综合素质，首先要培养学生做守法合格的公民，其次培养学生掌握一技之长的本领。学校应立德树人，把德育工作放在首位，突出以诚信、敬业为重点的职业道德教育。</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以职业岗位需求为依据，专业核心课程采用“项目化实训教学”教学模式，其他课程采用项目引导教学模式。以工作过程为基础，通过项目化实训，让学生以企业员工身份参加“企业”工作接受企业管理。以工作情境为支撑，实施“一体化”的实践教学，体验真正的工作情境。以职业生涯为背景，通过到制造企业实习，体验真实的职业氛围，体验营销与策划的职业生涯。使学生在实践中能够认识专业，了解其基本工作原理及使用中的问题。使学生在校期间能真正体验到职业情境，并把学生在企业顶岗实习的真实工作体验后对专业教学新要求的信息反馈，为今后的专业建设提供职业信息。</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4）加强实训基础设施和实训室的建设管理。培养学生的动手操作能力。因此学校要随着社会发展和企业需要更新教学基础设施，提高实训课的开出率，走产教研相结合的道路，探索职业教育的新模式。</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5</w:t>
      </w:r>
      <w:r>
        <w:rPr>
          <w:rFonts w:hint="eastAsia" w:ascii="仿宋_GB2312" w:eastAsia="仿宋_GB2312"/>
          <w:sz w:val="24"/>
          <w:szCs w:val="30"/>
        </w:rPr>
        <w:t>）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pPr>
        <w:pStyle w:val="25"/>
        <w:spacing w:line="360" w:lineRule="auto"/>
        <w:ind w:firstLine="403" w:firstLineChars="168"/>
        <w:jc w:val="left"/>
        <w:rPr>
          <w:rFonts w:hAnsi="宋体"/>
        </w:rPr>
      </w:pPr>
      <w:r>
        <w:rPr>
          <w:rFonts w:hint="eastAsia" w:ascii="仿宋" w:hAnsi="仿宋" w:eastAsia="仿宋"/>
        </w:rPr>
        <w:t>①</w:t>
      </w:r>
      <w:r>
        <w:rPr>
          <w:rFonts w:hint="eastAsia" w:hAnsi="宋体"/>
        </w:rPr>
        <w:t>任务驱动法，在本课程中主要提现教学设计、教学实施中，是教学的总指导方法。</w:t>
      </w:r>
    </w:p>
    <w:p>
      <w:pPr>
        <w:pStyle w:val="25"/>
        <w:spacing w:line="360" w:lineRule="auto"/>
        <w:ind w:firstLine="403" w:firstLineChars="168"/>
        <w:jc w:val="left"/>
        <w:rPr>
          <w:rFonts w:ascii="仿宋" w:hAnsi="仿宋" w:eastAsia="仿宋"/>
        </w:rPr>
      </w:pPr>
      <w:r>
        <w:rPr>
          <w:rFonts w:hint="eastAsia" w:ascii="仿宋" w:hAnsi="仿宋" w:eastAsia="仿宋"/>
        </w:rPr>
        <w:t>②仿真教学法，在于教学内容来源于真实的工作。仿真经济业务。课程所涉及的经济业务都选取自企业的真实经济业务。并进行了典型性、代表性的提炼。仿真单据。经济业务的展示不采取文字描述，而是根据真实工作环境以仿真单据的形式展现经济业务。要求学生根据仿真单据分析经济业务的内容，确定解决的方法。仿真凭证帐页。在展示工作业务流程的过程中，使用的也是仿真的凭证、帐页。</w:t>
      </w:r>
    </w:p>
    <w:p>
      <w:pPr>
        <w:pStyle w:val="25"/>
        <w:spacing w:line="360" w:lineRule="auto"/>
        <w:ind w:firstLine="403" w:firstLineChars="168"/>
        <w:jc w:val="left"/>
        <w:rPr>
          <w:rFonts w:ascii="仿宋" w:hAnsi="仿宋" w:eastAsia="仿宋"/>
        </w:rPr>
      </w:pPr>
      <w:r>
        <w:rPr>
          <w:rFonts w:hint="eastAsia" w:ascii="仿宋" w:hAnsi="仿宋" w:eastAsia="仿宋"/>
        </w:rPr>
        <w:t>③角色扮演教学法，在课程开发过程中，为了增加学生在课程学习中的主动性，找准自己在课程学习中的地位。为学生在课程中设计了一个虚拟的身份。</w:t>
      </w:r>
    </w:p>
    <w:p>
      <w:pPr>
        <w:pStyle w:val="25"/>
        <w:spacing w:line="360" w:lineRule="auto"/>
        <w:ind w:firstLine="403" w:firstLineChars="168"/>
        <w:jc w:val="left"/>
        <w:rPr>
          <w:rFonts w:ascii="仿宋" w:hAnsi="仿宋" w:eastAsia="仿宋"/>
        </w:rPr>
      </w:pPr>
      <w:r>
        <w:rPr>
          <w:rFonts w:hint="eastAsia" w:ascii="仿宋" w:hAnsi="仿宋" w:eastAsia="仿宋"/>
        </w:rPr>
        <w:t>④讨论教学法，讨论主要用在知识学习和业务处理程序分析中。是由单纯的教师占主导地位的讲授，变为学生为课堂的主体。</w:t>
      </w:r>
    </w:p>
    <w:p>
      <w:pPr>
        <w:pStyle w:val="25"/>
        <w:spacing w:line="360" w:lineRule="auto"/>
        <w:ind w:firstLine="403" w:firstLineChars="168"/>
        <w:jc w:val="left"/>
        <w:rPr>
          <w:szCs w:val="30"/>
        </w:rPr>
      </w:pPr>
      <w:r>
        <w:rPr>
          <w:rFonts w:hint="eastAsia" w:ascii="仿宋" w:hAnsi="仿宋" w:eastAsia="仿宋"/>
        </w:rPr>
        <w:t>⑤案例分析教学法，课程的案例分析主要应用在有法律法规约束的工作程序，案例以见诸于公众媒体的真案为主。以开放式分析为主，不以统一设问约束学生的思维。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制定并完善各环节的规章制度。从学生的日常行为规范，到学校的各种评价考核制度，各个环节的规章制度应该严格质量标准，认真执行落实标准，依靠制度管理和约束师生的行为。学校应积极探索符合职业教育规律和特点的考核形式、方法与手段的改革，有效地促进教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5、学习评价</w:t>
      </w:r>
    </w:p>
    <w:p>
      <w:pPr>
        <w:pStyle w:val="25"/>
        <w:spacing w:line="360" w:lineRule="auto"/>
        <w:ind w:firstLine="480"/>
        <w:jc w:val="left"/>
        <w:rPr>
          <w:szCs w:val="30"/>
        </w:rPr>
      </w:pPr>
      <w:r>
        <w:rPr>
          <w:rFonts w:hint="eastAsia" w:hAnsi="宋体"/>
          <w:szCs w:val="24"/>
        </w:rPr>
        <w:t>根据会计电算化专业培养目标，师生双方边教、边学、边做、理论与实践交替进行。会计电算化专业核心课程采用了理论实践一体化教学。</w:t>
      </w:r>
      <w:r>
        <w:rPr>
          <w:rFonts w:hint="eastAsia"/>
          <w:szCs w:val="30"/>
        </w:rPr>
        <w:t>采用过程性考核和课程结业考核相结合的考核方式。课程总成绩为100分，其中过程性考核占总成绩的60%，课程结业考核占总成绩的40%；总成绩60分为及格。</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1）过程性考核主要包括以下内容：</w:t>
      </w:r>
    </w:p>
    <w:p>
      <w:pPr>
        <w:overflowPunct w:val="0"/>
        <w:spacing w:line="360" w:lineRule="auto"/>
        <w:ind w:firstLine="566" w:firstLineChars="236"/>
        <w:rPr>
          <w:rFonts w:ascii="仿宋_GB2312" w:eastAsia="仿宋_GB2312"/>
          <w:sz w:val="24"/>
          <w:szCs w:val="30"/>
        </w:rPr>
      </w:pPr>
      <w:r>
        <w:rPr>
          <w:rFonts w:hint="eastAsia" w:ascii="仿宋_GB2312" w:eastAsia="仿宋_GB2312"/>
          <w:sz w:val="24"/>
          <w:szCs w:val="30"/>
        </w:rPr>
        <w:t>①学习态度（30%）：主要包括出勤率、听课情况、课堂讨论、发言、提问、作业等。</w:t>
      </w:r>
    </w:p>
    <w:p>
      <w:pPr>
        <w:overflowPunct w:val="0"/>
        <w:spacing w:line="360" w:lineRule="auto"/>
        <w:ind w:firstLine="566" w:firstLineChars="236"/>
        <w:rPr>
          <w:rFonts w:ascii="仿宋_GB2312" w:eastAsia="仿宋_GB2312"/>
          <w:sz w:val="24"/>
          <w:szCs w:val="30"/>
        </w:rPr>
      </w:pPr>
      <w:r>
        <w:rPr>
          <w:rFonts w:hint="eastAsia" w:ascii="仿宋" w:hAnsi="仿宋" w:eastAsia="仿宋"/>
          <w:sz w:val="24"/>
          <w:szCs w:val="30"/>
        </w:rPr>
        <w:t>②</w:t>
      </w:r>
      <w:r>
        <w:rPr>
          <w:rFonts w:hint="eastAsia" w:ascii="仿宋_GB2312" w:eastAsia="仿宋_GB2312"/>
          <w:sz w:val="24"/>
          <w:szCs w:val="30"/>
        </w:rPr>
        <w:t>岗位技能操作（40%）：主要包括施工准备、操作规范程度、熟练程度、成果等。</w:t>
      </w:r>
    </w:p>
    <w:p>
      <w:pPr>
        <w:overflowPunct w:val="0"/>
        <w:spacing w:line="360" w:lineRule="auto"/>
        <w:ind w:firstLine="566" w:firstLineChars="236"/>
        <w:rPr>
          <w:rFonts w:ascii="仿宋_GB2312" w:eastAsia="仿宋_GB2312"/>
          <w:sz w:val="24"/>
          <w:szCs w:val="30"/>
        </w:rPr>
      </w:pPr>
      <w:r>
        <w:rPr>
          <w:rFonts w:hint="eastAsia" w:ascii="仿宋" w:hAnsi="仿宋" w:eastAsia="仿宋"/>
          <w:sz w:val="24"/>
          <w:szCs w:val="30"/>
        </w:rPr>
        <w:t>③</w:t>
      </w:r>
      <w:r>
        <w:rPr>
          <w:rFonts w:hint="eastAsia" w:ascii="仿宋_GB2312" w:eastAsia="仿宋_GB2312"/>
          <w:sz w:val="24"/>
          <w:szCs w:val="30"/>
        </w:rPr>
        <w:t>单元测试（30%）：教师可采用单元测试题库组织进行，也可以根据单元项目内容结合实际案例由学生完成相应的成果等。</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2）课程结业考核：可采用笔试、现场实操、答辩、论文等多种形式。</w:t>
      </w:r>
    </w:p>
    <w:p>
      <w:pPr>
        <w:overflowPunct w:val="0"/>
        <w:spacing w:line="360" w:lineRule="auto"/>
        <w:ind w:firstLine="580" w:firstLineChars="242"/>
        <w:rPr>
          <w:rFonts w:ascii="仿宋_GB2312" w:eastAsia="仿宋_GB2312"/>
          <w:sz w:val="24"/>
          <w:szCs w:val="30"/>
        </w:rPr>
      </w:pPr>
      <w:bookmarkStart w:id="8" w:name="_Toc296503805"/>
      <w:r>
        <w:rPr>
          <w:rFonts w:ascii="仿宋_GB2312" w:eastAsia="仿宋_GB2312"/>
          <w:sz w:val="24"/>
          <w:szCs w:val="30"/>
        </w:rPr>
        <w:t>3</w:t>
      </w:r>
      <w:r>
        <w:rPr>
          <w:rFonts w:hint="eastAsia" w:ascii="仿宋_GB2312" w:eastAsia="仿宋_GB2312"/>
          <w:sz w:val="24"/>
          <w:szCs w:val="30"/>
        </w:rPr>
        <w:t>）组织流程</w:t>
      </w:r>
      <w:bookmarkEnd w:id="8"/>
    </w:p>
    <w:p>
      <w:pPr>
        <w:pStyle w:val="25"/>
        <w:spacing w:line="360" w:lineRule="auto"/>
        <w:ind w:firstLine="720" w:firstLineChars="300"/>
        <w:jc w:val="left"/>
        <w:rPr>
          <w:rFonts w:hAnsi="宋体"/>
        </w:rPr>
      </w:pPr>
      <w:r>
        <w:rPr>
          <w:rFonts w:hint="eastAsia" w:ascii="仿宋" w:hAnsi="仿宋" w:eastAsia="仿宋"/>
          <w:szCs w:val="24"/>
        </w:rPr>
        <w:t>①</w:t>
      </w:r>
      <w:r>
        <w:rPr>
          <w:rFonts w:hint="eastAsia" w:hAnsi="宋体"/>
          <w:szCs w:val="24"/>
        </w:rPr>
        <w:t>针对会计的学习性工作任务，设计工作信息表，下发工作信息表，由</w:t>
      </w:r>
      <w:r>
        <w:rPr>
          <w:rFonts w:hint="eastAsia" w:hAnsi="宋体"/>
        </w:rPr>
        <w:t>教师进行任务引出。</w:t>
      </w:r>
    </w:p>
    <w:p>
      <w:pPr>
        <w:pStyle w:val="25"/>
        <w:spacing w:line="360" w:lineRule="auto"/>
        <w:ind w:firstLine="720" w:firstLineChars="300"/>
        <w:jc w:val="left"/>
        <w:rPr>
          <w:rFonts w:ascii="仿宋" w:hAnsi="仿宋" w:eastAsia="仿宋"/>
          <w:szCs w:val="24"/>
        </w:rPr>
      </w:pPr>
      <w:r>
        <w:rPr>
          <w:rFonts w:hint="eastAsia" w:ascii="仿宋" w:hAnsi="仿宋" w:eastAsia="仿宋"/>
          <w:szCs w:val="24"/>
        </w:rPr>
        <w:t>②学生进行分组，以小组为单位进行任务的计划制定，由学生完成实施工作计划表</w:t>
      </w:r>
    </w:p>
    <w:p>
      <w:pPr>
        <w:pStyle w:val="25"/>
        <w:spacing w:line="360" w:lineRule="auto"/>
        <w:ind w:firstLine="720" w:firstLineChars="300"/>
        <w:jc w:val="left"/>
        <w:rPr>
          <w:rFonts w:ascii="仿宋" w:hAnsi="仿宋" w:eastAsia="仿宋"/>
          <w:szCs w:val="24"/>
        </w:rPr>
      </w:pPr>
      <w:r>
        <w:rPr>
          <w:rFonts w:hint="eastAsia" w:ascii="仿宋" w:hAnsi="仿宋" w:eastAsia="仿宋"/>
          <w:szCs w:val="24"/>
        </w:rPr>
        <w:t>③根据实施工作计划表，制定工作操作流程表。</w:t>
      </w:r>
    </w:p>
    <w:p>
      <w:pPr>
        <w:pStyle w:val="25"/>
        <w:spacing w:line="360" w:lineRule="auto"/>
        <w:ind w:firstLine="720" w:firstLineChars="300"/>
        <w:jc w:val="left"/>
        <w:rPr>
          <w:rFonts w:hAnsi="宋体"/>
          <w:szCs w:val="24"/>
        </w:rPr>
      </w:pPr>
      <w:r>
        <w:rPr>
          <w:rFonts w:hint="eastAsia" w:ascii="仿宋" w:hAnsi="仿宋" w:eastAsia="仿宋"/>
          <w:szCs w:val="24"/>
        </w:rPr>
        <w:t>④进行任务完成效果展示，同时对学习效果检查与评价，通过学生自评，小组互评，老师对学生任务完成效果与实施过程进行形成性鉴定。</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6、质量管理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1）计划编制按照专业培养目标的总体要求，本着由目标岗位定工作范围、由工作范围规范知识结构、能力结构的原则，设计教学过程，编制教学计划。</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3)打破理论课、实验课和实训课的界限，将课程的理论教学、实践教学、生产、技术服务融于一体。教学过程由学校教师和企业兼职教师共同完成，教学场所直接安排在仿真实训室，教学内容以任务驱动。在教学中教师边教、学生边学、边做，理论和实践交替进行，直观和抽象交错出现，没有固定的先实后理或先理后实，而理中有实，实中有理，突出学生动手能力和专业技能的培养，充分调动和激发学生学习兴趣。</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4)采用了以项目为引导、以任务为驱动的核心课程的理实一体化教材。教材根据教学目标和任务，将各个知识点分解实践训练任务，有计划地开展技能训练。在训练中让学生知其然。教师将学生实践中出现的问题，用专业理论知识来加以解释，使学生知其所以然，从而实现理论与实践的有机结合。这几本教材以能力为本位，以职业实践为主线，以任务驱动为主体，对课程内容进行重新序化，创新整合，校本教材充分体现了“教、学、做合一”的职教思想，实用性强，深受教师和学生的欢迎。</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5</w:t>
      </w:r>
      <w:r>
        <w:rPr>
          <w:rFonts w:hint="eastAsia" w:ascii="仿宋_GB2312" w:eastAsia="仿宋_GB2312"/>
          <w:sz w:val="24"/>
          <w:szCs w:val="30"/>
        </w:rPr>
        <w:t>）加强各项教学管理规章制度建设，教学管理文件规范。完善教学质量监控与保障体系；形成教学督导、教师、学生、社会教学评价体系以及完整的信息反馈系统；建立可行的激励机制和奖惩制度；加强对毕业生质量跟踪调查和收集企业对专业人才需求反馈的信息。</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6）坚持德育为先，能力为重。把社会主义核心价值体系融入教育教学全过程，着力培养学生的职业道德、职业技能和就业创业能力。</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7</w:t>
      </w:r>
      <w:r>
        <w:rPr>
          <w:rFonts w:hint="eastAsia" w:ascii="仿宋_GB2312" w:eastAsia="仿宋_GB2312"/>
          <w:sz w:val="24"/>
          <w:szCs w:val="30"/>
        </w:rPr>
        <w:t>）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8</w:t>
      </w:r>
      <w:r>
        <w:rPr>
          <w:rFonts w:hint="eastAsia" w:ascii="仿宋_GB2312" w:eastAsia="仿宋_GB2312"/>
          <w:sz w:val="24"/>
          <w:szCs w:val="30"/>
        </w:rPr>
        <w:t>）坚持工学结合、教学做合一的人才培养模式。注重“做中学、做中教”，重视理论实践一体化教学，强调实训和实习等教学环节，突出职教特色。</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9</w:t>
      </w:r>
      <w:r>
        <w:rPr>
          <w:rFonts w:hint="eastAsia" w:ascii="仿宋_GB2312" w:eastAsia="仿宋_GB2312"/>
          <w:sz w:val="24"/>
          <w:szCs w:val="30"/>
        </w:rPr>
        <w:t>）坚持整体规划、系统培养，促进学生的终身学习和全面发展。正确处理公共基础课程与专业技能课程之间的关系，合理确定学时比例，严格教学评价，注重中高职课程衔接。</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10</w:t>
      </w:r>
      <w:r>
        <w:rPr>
          <w:rFonts w:hint="eastAsia" w:ascii="仿宋_GB2312" w:eastAsia="仿宋_GB2312"/>
          <w:sz w:val="24"/>
          <w:szCs w:val="30"/>
        </w:rPr>
        <w:t>）坚持先进性和可行性，遵循专业建设规律。注重吸收职业教育专业建设、课程教学改革优秀成果，借鉴国外先进经验，兼顾行业发展实际和职业教育现状。</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11</w:t>
      </w:r>
      <w:r>
        <w:rPr>
          <w:rFonts w:hint="eastAsia" w:ascii="仿宋_GB2312" w:eastAsia="仿宋_GB2312"/>
          <w:sz w:val="24"/>
          <w:szCs w:val="30"/>
        </w:rPr>
        <w:t>）在实施时依据本计划结合不同入学年份的学</w:t>
      </w:r>
      <w:r>
        <w:rPr>
          <w:rFonts w:ascii="仿宋_GB2312" w:eastAsia="仿宋_GB2312"/>
          <w:sz w:val="24"/>
          <w:szCs w:val="30"/>
        </w:rPr>
        <w:t>生</w:t>
      </w:r>
      <w:r>
        <w:rPr>
          <w:rFonts w:hint="eastAsia" w:ascii="仿宋_GB2312" w:eastAsia="仿宋_GB2312"/>
          <w:sz w:val="24"/>
          <w:szCs w:val="30"/>
        </w:rPr>
        <w:t>编制专业实施性教学计划，实施性教学计划相对于本计划有不超过10%的上下活动范围。根据社会需求的变化及教育教学改革的深入进行，所开设的课程及实践教学环节可作适当调整。</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2</w:t>
      </w:r>
      <w:r>
        <w:rPr>
          <w:rFonts w:hint="eastAsia" w:ascii="仿宋_GB2312" w:eastAsia="仿宋_GB2312"/>
          <w:sz w:val="24"/>
          <w:szCs w:val="30"/>
        </w:rPr>
        <w:t>）为保证培养目标的实现，在教学计划的实施过程中，对学生开展形式多样、内容丰富的政治思想教育、心理健康教育、科技文化体育活动及社会实践活动。</w:t>
      </w:r>
    </w:p>
    <w:p>
      <w:pPr>
        <w:overflowPunct w:val="0"/>
        <w:rPr>
          <w:rFonts w:ascii="黑体" w:hAnsi="黑体" w:eastAsia="黑体"/>
          <w:b/>
          <w:sz w:val="28"/>
          <w:szCs w:val="30"/>
        </w:rPr>
      </w:pPr>
      <w:r>
        <w:rPr>
          <w:rFonts w:hint="eastAsia" w:ascii="黑体" w:hAnsi="黑体" w:eastAsia="黑体"/>
          <w:b/>
          <w:sz w:val="28"/>
          <w:szCs w:val="30"/>
        </w:rPr>
        <w:t>九、毕业要求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1．学生毕业时要求取得毕业证和与本专业培养目标相匹配的计算机中级证、</w:t>
      </w:r>
      <w:r>
        <w:rPr>
          <w:rFonts w:hint="eastAsia" w:ascii="仿宋_GB2312" w:eastAsia="仿宋_GB2312"/>
          <w:sz w:val="24"/>
        </w:rPr>
        <w:t>会计从业资格证</w:t>
      </w:r>
      <w:r>
        <w:rPr>
          <w:rFonts w:hint="eastAsia" w:ascii="仿宋_GB2312" w:eastAsia="仿宋_GB2312"/>
          <w:sz w:val="24"/>
          <w:szCs w:val="30"/>
        </w:rPr>
        <w:t>、网络营销师、</w:t>
      </w:r>
      <w:r>
        <w:rPr>
          <w:rFonts w:hint="eastAsia" w:ascii="仿宋_GB2312" w:eastAsia="仿宋_GB2312"/>
          <w:sz w:val="24"/>
        </w:rPr>
        <w:t>电子商务资格证、</w:t>
      </w:r>
      <w:r>
        <w:rPr>
          <w:rFonts w:hint="eastAsia" w:ascii="仿宋_GB2312" w:eastAsia="仿宋_GB2312"/>
          <w:sz w:val="24"/>
          <w:szCs w:val="30"/>
        </w:rPr>
        <w:t>电子商务支付管理师等职业资格证书。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2．本专业毕业生除完成专业教学计划中所有科目的学习并成绩合格外，必须获得我校专业技能等级证才能获得毕业资格。</w:t>
      </w:r>
    </w:p>
    <w:p>
      <w:pPr>
        <w:overflowPunct w:val="0"/>
        <w:spacing w:line="360" w:lineRule="auto"/>
        <w:ind w:firstLine="340" w:firstLineChars="142"/>
        <w:rPr>
          <w:rFonts w:ascii="仿宋_GB2312" w:eastAsia="仿宋_GB2312"/>
          <w:sz w:val="24"/>
          <w:szCs w:val="30"/>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drawing>
        <wp:anchor distT="0" distB="0" distL="0" distR="0" simplePos="0" relativeHeight="251659264" behindDoc="0" locked="0" layoutInCell="1" allowOverlap="1">
          <wp:simplePos x="0" y="0"/>
          <wp:positionH relativeFrom="margin">
            <wp:align>left</wp:align>
          </wp:positionH>
          <wp:positionV relativeFrom="paragraph">
            <wp:posOffset>-107950</wp:posOffset>
          </wp:positionV>
          <wp:extent cx="1583055" cy="256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3055" cy="256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2MTc4YzI4ZjNkMjIyOGI2M2Y0ZTkwNjBkMzI1M2MifQ=="/>
  </w:docVars>
  <w:rsids>
    <w:rsidRoot w:val="0053177C"/>
    <w:rsid w:val="0035584B"/>
    <w:rsid w:val="0053177C"/>
    <w:rsid w:val="00736492"/>
    <w:rsid w:val="007F18F6"/>
    <w:rsid w:val="00946333"/>
    <w:rsid w:val="49FF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after="156" w:afterLines="50" w:line="578" w:lineRule="atLeast"/>
      <w:ind w:right="227"/>
      <w:outlineLvl w:val="0"/>
    </w:pPr>
    <w:rPr>
      <w:rFonts w:ascii="Arial" w:hAnsi="Arial"/>
      <w:b/>
      <w:sz w:val="28"/>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ascii="Cambria" w:hAnsi="Cambria" w:eastAsia="黑体"/>
      <w:sz w:val="20"/>
      <w:szCs w:val="20"/>
    </w:rPr>
  </w:style>
  <w:style w:type="paragraph" w:styleId="4">
    <w:name w:val="Body Text"/>
    <w:basedOn w:val="1"/>
    <w:link w:val="18"/>
    <w:qFormat/>
    <w:uiPriority w:val="0"/>
    <w:pPr>
      <w:spacing w:before="140"/>
      <w:ind w:left="428" w:right="423" w:firstLine="559"/>
    </w:pPr>
    <w:rPr>
      <w:rFonts w:ascii="仿宋" w:hAnsi="仿宋" w:eastAsia="仿宋" w:cs="仿宋"/>
      <w:sz w:val="28"/>
      <w:szCs w:val="28"/>
      <w:lang w:val="zh-CN" w:bidi="zh-CN"/>
    </w:rPr>
  </w:style>
  <w:style w:type="paragraph" w:styleId="5">
    <w:name w:val="Body Text Indent"/>
    <w:basedOn w:val="1"/>
    <w:link w:val="19"/>
    <w:qFormat/>
    <w:uiPriority w:val="0"/>
    <w:pPr>
      <w:ind w:firstLine="420" w:firstLineChars="200"/>
    </w:pPr>
  </w:style>
  <w:style w:type="paragraph" w:styleId="6">
    <w:name w:val="Balloon Text"/>
    <w:basedOn w:val="1"/>
    <w:link w:val="20"/>
    <w:qFormat/>
    <w:uiPriority w:val="0"/>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Title"/>
    <w:basedOn w:val="1"/>
    <w:next w:val="1"/>
    <w:link w:val="21"/>
    <w:qFormat/>
    <w:uiPriority w:val="0"/>
    <w:pPr>
      <w:spacing w:before="480" w:after="240" w:line="240" w:lineRule="atLeast"/>
      <w:ind w:left="227" w:right="227"/>
      <w:jc w:val="center"/>
      <w:outlineLvl w:val="0"/>
    </w:pPr>
    <w:rPr>
      <w:rFonts w:ascii="Arial" w:hAnsi="Arial" w:eastAsia="黑体"/>
      <w:b/>
      <w:spacing w:val="20"/>
      <w:sz w:val="36"/>
      <w:szCs w:val="21"/>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眉 字符"/>
    <w:basedOn w:val="13"/>
    <w:link w:val="8"/>
    <w:qFormat/>
    <w:uiPriority w:val="99"/>
    <w:rPr>
      <w:sz w:val="18"/>
      <w:szCs w:val="18"/>
    </w:rPr>
  </w:style>
  <w:style w:type="character" w:customStyle="1" w:styleId="16">
    <w:name w:val="页脚 字符"/>
    <w:basedOn w:val="13"/>
    <w:link w:val="7"/>
    <w:qFormat/>
    <w:uiPriority w:val="99"/>
    <w:rPr>
      <w:sz w:val="18"/>
      <w:szCs w:val="18"/>
    </w:rPr>
  </w:style>
  <w:style w:type="character" w:customStyle="1" w:styleId="17">
    <w:name w:val="标题 1 字符"/>
    <w:basedOn w:val="13"/>
    <w:link w:val="2"/>
    <w:qFormat/>
    <w:uiPriority w:val="0"/>
    <w:rPr>
      <w:rFonts w:ascii="Arial" w:hAnsi="Arial" w:eastAsia="宋体" w:cs="Times New Roman"/>
      <w:b/>
      <w:sz w:val="28"/>
      <w:szCs w:val="28"/>
    </w:rPr>
  </w:style>
  <w:style w:type="character" w:customStyle="1" w:styleId="18">
    <w:name w:val="正文文本 字符"/>
    <w:basedOn w:val="13"/>
    <w:link w:val="4"/>
    <w:qFormat/>
    <w:uiPriority w:val="0"/>
    <w:rPr>
      <w:rFonts w:ascii="仿宋" w:hAnsi="仿宋" w:eastAsia="仿宋" w:cs="仿宋"/>
      <w:sz w:val="28"/>
      <w:szCs w:val="28"/>
      <w:lang w:val="zh-CN" w:bidi="zh-CN"/>
    </w:rPr>
  </w:style>
  <w:style w:type="character" w:customStyle="1" w:styleId="19">
    <w:name w:val="正文文本缩进 字符"/>
    <w:basedOn w:val="13"/>
    <w:link w:val="5"/>
    <w:qFormat/>
    <w:uiPriority w:val="0"/>
    <w:rPr>
      <w:rFonts w:ascii="Times New Roman" w:hAnsi="Times New Roman" w:eastAsia="宋体" w:cs="Times New Roman"/>
      <w:szCs w:val="24"/>
    </w:rPr>
  </w:style>
  <w:style w:type="character" w:customStyle="1" w:styleId="20">
    <w:name w:val="批注框文本 字符"/>
    <w:basedOn w:val="13"/>
    <w:link w:val="6"/>
    <w:qFormat/>
    <w:uiPriority w:val="0"/>
    <w:rPr>
      <w:rFonts w:ascii="Times New Roman" w:hAnsi="Times New Roman" w:eastAsia="宋体" w:cs="Times New Roman"/>
      <w:sz w:val="18"/>
      <w:szCs w:val="18"/>
    </w:rPr>
  </w:style>
  <w:style w:type="character" w:customStyle="1" w:styleId="21">
    <w:name w:val="标题 字符"/>
    <w:basedOn w:val="13"/>
    <w:link w:val="10"/>
    <w:qFormat/>
    <w:uiPriority w:val="0"/>
    <w:rPr>
      <w:rFonts w:ascii="Arial" w:hAnsi="Arial" w:eastAsia="黑体" w:cs="Times New Roman"/>
      <w:b/>
      <w:spacing w:val="20"/>
      <w:sz w:val="36"/>
      <w:szCs w:val="21"/>
    </w:rPr>
  </w:style>
  <w:style w:type="paragraph" w:customStyle="1" w:styleId="22">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23">
    <w:name w:val="列出段落1"/>
    <w:basedOn w:val="1"/>
    <w:qFormat/>
    <w:uiPriority w:val="0"/>
    <w:pPr>
      <w:ind w:firstLine="420" w:firstLineChars="200"/>
    </w:pPr>
  </w:style>
  <w:style w:type="paragraph" w:customStyle="1" w:styleId="24">
    <w:name w:val="Char"/>
    <w:basedOn w:val="1"/>
    <w:qFormat/>
    <w:uiPriority w:val="0"/>
    <w:rPr>
      <w:rFonts w:eastAsia="仿宋_GB2312"/>
      <w:sz w:val="32"/>
      <w:szCs w:val="32"/>
    </w:rPr>
  </w:style>
  <w:style w:type="paragraph" w:customStyle="1" w:styleId="25">
    <w:name w:val="aa"/>
    <w:basedOn w:val="1"/>
    <w:link w:val="26"/>
    <w:qFormat/>
    <w:uiPriority w:val="0"/>
    <w:pPr>
      <w:spacing w:line="400" w:lineRule="exact"/>
      <w:ind w:firstLine="200" w:firstLineChars="200"/>
    </w:pPr>
    <w:rPr>
      <w:rFonts w:ascii="仿宋_GB2312" w:hAnsi="仿宋_GB2312" w:eastAsia="仿宋_GB2312"/>
      <w:sz w:val="24"/>
      <w:szCs w:val="20"/>
      <w:lang w:val="zh-CN"/>
    </w:rPr>
  </w:style>
  <w:style w:type="character" w:customStyle="1" w:styleId="26">
    <w:name w:val="aa Char"/>
    <w:link w:val="25"/>
    <w:qFormat/>
    <w:uiPriority w:val="0"/>
    <w:rPr>
      <w:rFonts w:ascii="仿宋_GB2312" w:hAnsi="仿宋_GB2312" w:eastAsia="仿宋_GB2312" w:cs="Times New Roman"/>
      <w:sz w:val="24"/>
      <w:szCs w:val="20"/>
      <w:lang w:val="zh-CN"/>
    </w:rPr>
  </w:style>
  <w:style w:type="character" w:customStyle="1" w:styleId="27">
    <w:name w:val="2233 Char"/>
    <w:link w:val="28"/>
    <w:qFormat/>
    <w:uiPriority w:val="0"/>
    <w:rPr>
      <w:rFonts w:ascii="仿宋_GB2312" w:hAnsi="仿宋_GB2312" w:eastAsia="仿宋_GB2312"/>
      <w:sz w:val="24"/>
    </w:rPr>
  </w:style>
  <w:style w:type="paragraph" w:customStyle="1" w:styleId="28">
    <w:name w:val="2233"/>
    <w:basedOn w:val="1"/>
    <w:link w:val="27"/>
    <w:qFormat/>
    <w:uiPriority w:val="0"/>
    <w:pPr>
      <w:ind w:firstLine="200" w:firstLineChars="200"/>
      <w:jc w:val="left"/>
      <w:textAlignment w:val="baseline"/>
    </w:pPr>
    <w:rPr>
      <w:rFonts w:ascii="仿宋_GB2312" w:hAnsi="仿宋_GB2312" w:eastAsia="仿宋_GB2312" w:cstheme="minorBidi"/>
      <w:sz w:val="24"/>
      <w:szCs w:val="22"/>
    </w:rPr>
  </w:style>
  <w:style w:type="paragraph" w:customStyle="1" w:styleId="29">
    <w:name w:val="List Paragraph1"/>
    <w:basedOn w:val="1"/>
    <w:qFormat/>
    <w:uiPriority w:val="99"/>
    <w:pPr>
      <w:ind w:firstLine="420" w:firstLineChars="200"/>
    </w:pPr>
    <w:rPr>
      <w:rFonts w:ascii="Calibri" w:hAnsi="Calibri" w:cs="黑体"/>
      <w:szCs w:val="22"/>
    </w:rPr>
  </w:style>
  <w:style w:type="table" w:customStyle="1" w:styleId="30">
    <w:name w:val="TableGrid"/>
    <w:basedOn w:val="11"/>
    <w:qFormat/>
    <w:uiPriority w:val="0"/>
    <w:rPr>
      <w:rFonts w:ascii="Times New Roman" w:hAnsi="Times New Roman" w:eastAsia="Times New Roman" w:cs="Times New Roman"/>
      <w:kern w:val="0"/>
      <w:sz w:val="20"/>
      <w:szCs w:val="20"/>
    </w:rPr>
    <w:tblPr>
      <w:tblCellMar>
        <w:left w:w="0" w:type="dxa"/>
        <w:right w:w="0" w:type="dxa"/>
      </w:tblCellMar>
    </w:tblPr>
  </w:style>
  <w:style w:type="paragraph" w:customStyle="1" w:styleId="31">
    <w:name w:val="Table Paragraph"/>
    <w:basedOn w:val="1"/>
    <w:qFormat/>
    <w:uiPriority w:val="1"/>
    <w:rPr>
      <w:rFonts w:ascii="楷体" w:hAnsi="楷体" w:eastAsia="楷体" w:cs="楷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11441</Words>
  <Characters>11734</Characters>
  <Lines>92</Lines>
  <Paragraphs>26</Paragraphs>
  <TotalTime>8</TotalTime>
  <ScaleCrop>false</ScaleCrop>
  <LinksUpToDate>false</LinksUpToDate>
  <CharactersWithSpaces>11743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2022-09-23T02:52:00Z</dcterms:created>
  <dc:creator>xinhua</dc:creator>
  <cp:lastModifiedBy>箴言</cp:lastModifiedBy>
  <dcterms:modified xsi:type="dcterms:W3CDTF">2022-09-23T04:59:15Z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6B7DD9BCD4EC43A1AF1023AEC6FEE89B</vt:lpwstr>
  </property>
</Properties>
</file>