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000000"/>
          <w:sz w:val="52"/>
          <w:szCs w:val="52"/>
        </w:rPr>
      </w:pPr>
      <w:r>
        <w:rPr>
          <w:rFonts w:hint="eastAsia" w:ascii="黑体" w:hAnsi="黑体" w:eastAsia="黑体"/>
          <w:color w:val="000000"/>
          <w:sz w:val="52"/>
          <w:szCs w:val="52"/>
        </w:rPr>
        <w:t>郑州新华中等专业学校</w:t>
      </w:r>
    </w:p>
    <w:p>
      <w:pPr>
        <w:spacing w:line="360" w:lineRule="auto"/>
        <w:jc w:val="left"/>
        <w:rPr>
          <w:rFonts w:hint="eastAsia" w:ascii="黑体" w:eastAsia="黑体"/>
          <w:b/>
          <w:sz w:val="44"/>
          <w:szCs w:val="44"/>
        </w:rPr>
      </w:pPr>
    </w:p>
    <w:p>
      <w:pPr>
        <w:spacing w:line="360" w:lineRule="auto"/>
        <w:jc w:val="center"/>
        <w:rPr>
          <w:rFonts w:ascii="黑体" w:eastAsia="黑体"/>
          <w:sz w:val="56"/>
          <w:szCs w:val="44"/>
        </w:rPr>
      </w:pPr>
      <w:r>
        <w:rPr>
          <w:rFonts w:hint="eastAsia" w:ascii="黑体" w:eastAsia="黑体"/>
          <w:sz w:val="56"/>
          <w:szCs w:val="44"/>
        </w:rPr>
        <w:t>会</w:t>
      </w:r>
    </w:p>
    <w:p>
      <w:pPr>
        <w:spacing w:line="360" w:lineRule="auto"/>
        <w:jc w:val="center"/>
        <w:rPr>
          <w:rFonts w:ascii="黑体" w:eastAsia="黑体"/>
          <w:sz w:val="56"/>
          <w:szCs w:val="44"/>
        </w:rPr>
      </w:pPr>
      <w:r>
        <w:rPr>
          <w:rFonts w:hint="eastAsia" w:ascii="黑体" w:eastAsia="黑体"/>
          <w:sz w:val="56"/>
          <w:szCs w:val="44"/>
        </w:rPr>
        <w:t>计</w:t>
      </w:r>
      <w:bookmarkStart w:id="9" w:name="_GoBack"/>
      <w:bookmarkEnd w:id="9"/>
    </w:p>
    <w:p>
      <w:pPr>
        <w:spacing w:line="360" w:lineRule="auto"/>
        <w:jc w:val="center"/>
        <w:rPr>
          <w:rFonts w:ascii="黑体" w:eastAsia="黑体"/>
          <w:sz w:val="56"/>
          <w:szCs w:val="44"/>
        </w:rPr>
      </w:pPr>
      <w:r>
        <w:rPr>
          <w:rFonts w:hint="eastAsia" w:ascii="黑体" w:eastAsia="黑体"/>
          <w:sz w:val="56"/>
          <w:szCs w:val="44"/>
        </w:rPr>
        <w:t>电</w:t>
      </w:r>
    </w:p>
    <w:p>
      <w:pPr>
        <w:spacing w:line="360" w:lineRule="auto"/>
        <w:jc w:val="center"/>
        <w:rPr>
          <w:rFonts w:ascii="黑体" w:eastAsia="黑体"/>
          <w:sz w:val="56"/>
          <w:szCs w:val="44"/>
        </w:rPr>
      </w:pPr>
      <w:r>
        <w:rPr>
          <w:rFonts w:hint="eastAsia" w:ascii="黑体" w:eastAsia="黑体"/>
          <w:sz w:val="56"/>
          <w:szCs w:val="44"/>
        </w:rPr>
        <w:t>算</w:t>
      </w:r>
    </w:p>
    <w:p>
      <w:pPr>
        <w:spacing w:line="360" w:lineRule="auto"/>
        <w:jc w:val="center"/>
        <w:rPr>
          <w:rFonts w:ascii="黑体" w:eastAsia="黑体"/>
          <w:sz w:val="56"/>
          <w:szCs w:val="44"/>
        </w:rPr>
      </w:pPr>
      <w:r>
        <w:rPr>
          <w:rFonts w:hint="eastAsia" w:ascii="黑体" w:eastAsia="黑体"/>
          <w:sz w:val="56"/>
          <w:szCs w:val="44"/>
        </w:rPr>
        <w:t>化</w:t>
      </w:r>
    </w:p>
    <w:p>
      <w:pPr>
        <w:spacing w:line="360" w:lineRule="auto"/>
        <w:jc w:val="center"/>
        <w:rPr>
          <w:rFonts w:ascii="黑体" w:eastAsia="黑体"/>
          <w:sz w:val="56"/>
          <w:szCs w:val="44"/>
        </w:rPr>
      </w:pPr>
      <w:r>
        <w:rPr>
          <w:rFonts w:hint="eastAsia" w:ascii="黑体" w:eastAsia="黑体"/>
          <w:sz w:val="56"/>
          <w:szCs w:val="44"/>
        </w:rPr>
        <w:t>专</w:t>
      </w:r>
    </w:p>
    <w:p>
      <w:pPr>
        <w:spacing w:line="360" w:lineRule="auto"/>
        <w:jc w:val="center"/>
        <w:rPr>
          <w:rFonts w:ascii="黑体" w:eastAsia="黑体"/>
          <w:sz w:val="56"/>
          <w:szCs w:val="44"/>
        </w:rPr>
      </w:pPr>
      <w:r>
        <w:rPr>
          <w:rFonts w:ascii="黑体" w:eastAsia="黑体"/>
          <w:sz w:val="56"/>
          <w:szCs w:val="44"/>
        </w:rPr>
        <w:t>业</w:t>
      </w:r>
    </w:p>
    <w:p>
      <w:pPr>
        <w:spacing w:line="360" w:lineRule="auto"/>
        <w:jc w:val="center"/>
        <w:rPr>
          <w:rFonts w:ascii="黑体" w:eastAsia="黑体"/>
          <w:sz w:val="56"/>
          <w:szCs w:val="44"/>
        </w:rPr>
      </w:pPr>
      <w:r>
        <w:rPr>
          <w:rFonts w:ascii="黑体" w:eastAsia="黑体"/>
          <w:sz w:val="56"/>
          <w:szCs w:val="44"/>
        </w:rPr>
        <w:t>人</w:t>
      </w:r>
    </w:p>
    <w:p>
      <w:pPr>
        <w:spacing w:line="360" w:lineRule="auto"/>
        <w:jc w:val="center"/>
        <w:rPr>
          <w:rFonts w:ascii="黑体" w:eastAsia="黑体"/>
          <w:sz w:val="56"/>
          <w:szCs w:val="44"/>
        </w:rPr>
      </w:pPr>
      <w:r>
        <w:rPr>
          <w:rFonts w:ascii="黑体" w:eastAsia="黑体"/>
          <w:sz w:val="56"/>
          <w:szCs w:val="44"/>
        </w:rPr>
        <w:t>才</w:t>
      </w:r>
    </w:p>
    <w:p>
      <w:pPr>
        <w:spacing w:line="360" w:lineRule="auto"/>
        <w:jc w:val="center"/>
        <w:rPr>
          <w:rFonts w:ascii="黑体" w:eastAsia="黑体"/>
          <w:sz w:val="56"/>
          <w:szCs w:val="44"/>
        </w:rPr>
      </w:pPr>
      <w:r>
        <w:rPr>
          <w:rFonts w:ascii="黑体" w:eastAsia="黑体"/>
          <w:sz w:val="56"/>
          <w:szCs w:val="44"/>
        </w:rPr>
        <w:t>培</w:t>
      </w:r>
    </w:p>
    <w:p>
      <w:pPr>
        <w:spacing w:line="360" w:lineRule="auto"/>
        <w:jc w:val="center"/>
        <w:rPr>
          <w:rFonts w:ascii="黑体" w:eastAsia="黑体"/>
          <w:sz w:val="56"/>
          <w:szCs w:val="44"/>
        </w:rPr>
      </w:pPr>
      <w:r>
        <w:rPr>
          <w:rFonts w:ascii="黑体" w:eastAsia="黑体"/>
          <w:sz w:val="56"/>
          <w:szCs w:val="44"/>
        </w:rPr>
        <w:t>养</w:t>
      </w:r>
    </w:p>
    <w:p>
      <w:pPr>
        <w:spacing w:line="360" w:lineRule="auto"/>
        <w:jc w:val="center"/>
        <w:rPr>
          <w:rFonts w:ascii="黑体" w:eastAsia="黑体"/>
          <w:sz w:val="56"/>
          <w:szCs w:val="44"/>
        </w:rPr>
      </w:pPr>
      <w:r>
        <w:rPr>
          <w:rFonts w:ascii="黑体" w:eastAsia="黑体"/>
          <w:sz w:val="56"/>
          <w:szCs w:val="44"/>
        </w:rPr>
        <w:t>方</w:t>
      </w:r>
    </w:p>
    <w:p>
      <w:pPr>
        <w:spacing w:line="360" w:lineRule="auto"/>
        <w:jc w:val="center"/>
        <w:rPr>
          <w:rFonts w:ascii="黑体" w:eastAsia="黑体"/>
          <w:sz w:val="56"/>
          <w:szCs w:val="44"/>
        </w:rPr>
      </w:pPr>
      <w:r>
        <w:rPr>
          <w:rFonts w:ascii="黑体" w:eastAsia="黑体"/>
          <w:sz w:val="56"/>
          <w:szCs w:val="44"/>
        </w:rPr>
        <w:t>案</w:t>
      </w:r>
    </w:p>
    <w:p>
      <w:pPr>
        <w:pStyle w:val="10"/>
        <w:spacing w:before="120" w:after="120" w:line="360" w:lineRule="auto"/>
      </w:pPr>
      <w:bookmarkStart w:id="0" w:name="_Toc308094591"/>
      <w:bookmarkStart w:id="1" w:name="_Toc307923180"/>
      <w:r>
        <w:rPr>
          <w:rFonts w:hint="eastAsia"/>
        </w:rPr>
        <w:t>会计电算化专业人才培养方案</w:t>
      </w:r>
      <w:bookmarkEnd w:id="0"/>
      <w:bookmarkEnd w:id="1"/>
      <w:bookmarkStart w:id="2" w:name="_Toc307923181"/>
      <w:bookmarkStart w:id="3" w:name="_Toc307894520"/>
      <w:bookmarkStart w:id="4" w:name="_Toc308094592"/>
    </w:p>
    <w:bookmarkEnd w:id="2"/>
    <w:bookmarkEnd w:id="3"/>
    <w:bookmarkEnd w:id="4"/>
    <w:p>
      <w:pPr>
        <w:overflowPunct w:val="0"/>
        <w:rPr>
          <w:rFonts w:ascii="黑体" w:hAnsi="黑体" w:eastAsia="黑体"/>
          <w:b/>
          <w:sz w:val="28"/>
          <w:szCs w:val="30"/>
        </w:rPr>
      </w:pPr>
      <w:r>
        <w:rPr>
          <w:rFonts w:hint="eastAsia" w:ascii="黑体" w:hAnsi="黑体" w:eastAsia="黑体"/>
          <w:b/>
          <w:sz w:val="28"/>
          <w:szCs w:val="30"/>
        </w:rPr>
        <w:t>一、专业名称及代码</w:t>
      </w:r>
    </w:p>
    <w:p>
      <w:pPr>
        <w:pStyle w:val="25"/>
        <w:spacing w:line="360" w:lineRule="auto"/>
        <w:ind w:firstLine="480"/>
        <w:jc w:val="left"/>
        <w:rPr>
          <w:rFonts w:hAnsi="宋体"/>
        </w:rPr>
      </w:pPr>
      <w:r>
        <w:rPr>
          <w:rFonts w:hint="eastAsia" w:hAnsi="宋体"/>
        </w:rPr>
        <w:t>专业名称：会计电算化</w:t>
      </w:r>
    </w:p>
    <w:p>
      <w:pPr>
        <w:pStyle w:val="25"/>
        <w:spacing w:line="360" w:lineRule="auto"/>
        <w:ind w:firstLine="480"/>
        <w:jc w:val="left"/>
        <w:rPr>
          <w:rFonts w:hAnsi="宋体"/>
        </w:rPr>
      </w:pPr>
      <w:r>
        <w:rPr>
          <w:rFonts w:hint="eastAsia" w:hAnsi="宋体"/>
        </w:rPr>
        <w:t>专业代码：</w:t>
      </w:r>
      <w:r>
        <w:rPr>
          <w:rFonts w:hAnsi="宋体"/>
        </w:rPr>
        <w:t>120200</w:t>
      </w:r>
    </w:p>
    <w:p>
      <w:pPr>
        <w:overflowPunct w:val="0"/>
        <w:rPr>
          <w:rFonts w:ascii="黑体" w:hAnsi="黑体" w:eastAsia="黑体"/>
          <w:b/>
          <w:sz w:val="28"/>
          <w:szCs w:val="30"/>
        </w:rPr>
      </w:pPr>
      <w:r>
        <w:rPr>
          <w:rFonts w:hint="eastAsia" w:ascii="黑体" w:hAnsi="黑体" w:eastAsia="黑体"/>
          <w:b/>
          <w:sz w:val="28"/>
          <w:szCs w:val="30"/>
        </w:rPr>
        <w:t>二、入学要求</w:t>
      </w:r>
    </w:p>
    <w:p>
      <w:pPr>
        <w:pStyle w:val="25"/>
        <w:spacing w:line="360" w:lineRule="auto"/>
        <w:ind w:firstLine="480"/>
        <w:jc w:val="left"/>
        <w:rPr>
          <w:rFonts w:hAnsi="宋体"/>
        </w:rPr>
      </w:pPr>
      <w:r>
        <w:rPr>
          <w:rFonts w:hint="eastAsia" w:hAnsi="宋体"/>
        </w:rPr>
        <w:t>招生对象为初中毕业生或具有同等学力者</w:t>
      </w:r>
    </w:p>
    <w:p>
      <w:pPr>
        <w:overflowPunct w:val="0"/>
        <w:rPr>
          <w:rFonts w:ascii="黑体" w:hAnsi="黑体" w:eastAsia="黑体"/>
          <w:b/>
          <w:sz w:val="28"/>
          <w:szCs w:val="30"/>
        </w:rPr>
      </w:pPr>
      <w:r>
        <w:rPr>
          <w:rFonts w:hint="eastAsia" w:ascii="黑体" w:hAnsi="黑体" w:eastAsia="黑体"/>
          <w:b/>
          <w:sz w:val="28"/>
          <w:szCs w:val="30"/>
        </w:rPr>
        <w:t>三、修业年限</w:t>
      </w:r>
    </w:p>
    <w:p>
      <w:pPr>
        <w:pStyle w:val="25"/>
        <w:spacing w:line="360" w:lineRule="auto"/>
        <w:ind w:firstLine="480"/>
        <w:jc w:val="left"/>
        <w:rPr>
          <w:rFonts w:hAnsi="宋体"/>
        </w:rPr>
      </w:pPr>
      <w:r>
        <w:rPr>
          <w:rFonts w:hint="eastAsia" w:hAnsi="宋体"/>
        </w:rPr>
        <w:t>三年</w:t>
      </w:r>
    </w:p>
    <w:p>
      <w:pPr>
        <w:overflowPunct w:val="0"/>
        <w:rPr>
          <w:rFonts w:ascii="黑体" w:hAnsi="黑体" w:eastAsia="黑体"/>
          <w:b/>
          <w:sz w:val="28"/>
          <w:szCs w:val="30"/>
        </w:rPr>
      </w:pPr>
      <w:r>
        <w:rPr>
          <w:rFonts w:hint="eastAsia" w:ascii="黑体" w:hAnsi="黑体" w:eastAsia="黑体"/>
          <w:b/>
          <w:sz w:val="28"/>
          <w:szCs w:val="30"/>
        </w:rPr>
        <w:t>四、职业面向</w:t>
      </w:r>
    </w:p>
    <w:tbl>
      <w:tblPr>
        <w:tblStyle w:val="11"/>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099"/>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4"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序号</w:t>
            </w:r>
          </w:p>
        </w:tc>
        <w:tc>
          <w:tcPr>
            <w:tcW w:w="4099"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主要就</w:t>
            </w:r>
            <w:r>
              <w:rPr>
                <w:rFonts w:ascii="仿宋" w:hAnsi="仿宋" w:eastAsia="仿宋"/>
                <w:b/>
                <w:color w:val="000000"/>
                <w:sz w:val="24"/>
              </w:rPr>
              <w:t>业</w:t>
            </w:r>
            <w:r>
              <w:rPr>
                <w:rFonts w:hint="eastAsia" w:ascii="仿宋" w:hAnsi="仿宋" w:eastAsia="仿宋"/>
                <w:b/>
                <w:color w:val="000000"/>
                <w:sz w:val="24"/>
              </w:rPr>
              <w:t>岗位</w:t>
            </w:r>
          </w:p>
        </w:tc>
        <w:tc>
          <w:tcPr>
            <w:tcW w:w="3923" w:type="dxa"/>
            <w:vAlign w:val="center"/>
          </w:tcPr>
          <w:p>
            <w:pPr>
              <w:spacing w:line="320" w:lineRule="exact"/>
              <w:jc w:val="center"/>
              <w:rPr>
                <w:rFonts w:ascii="仿宋" w:hAnsi="仿宋" w:eastAsia="仿宋"/>
                <w:b/>
                <w:color w:val="000000"/>
                <w:sz w:val="24"/>
              </w:rPr>
            </w:pPr>
            <w:r>
              <w:rPr>
                <w:rFonts w:hint="eastAsia" w:ascii="仿宋" w:hAnsi="仿宋" w:eastAsia="仿宋"/>
                <w:b/>
                <w:color w:val="000000"/>
                <w:sz w:val="24"/>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1</w:t>
            </w:r>
          </w:p>
        </w:tc>
        <w:tc>
          <w:tcPr>
            <w:tcW w:w="4099"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出</w:t>
            </w:r>
            <w:r>
              <w:rPr>
                <w:rFonts w:ascii="仿宋" w:hAnsi="仿宋" w:eastAsia="仿宋"/>
                <w:color w:val="000000"/>
                <w:sz w:val="24"/>
              </w:rPr>
              <w:t>纳员</w:t>
            </w:r>
          </w:p>
        </w:tc>
        <w:tc>
          <w:tcPr>
            <w:tcW w:w="3923" w:type="dxa"/>
            <w:vMerge w:val="restart"/>
            <w:vAlign w:val="center"/>
          </w:tcPr>
          <w:p>
            <w:pPr>
              <w:rPr>
                <w:rFonts w:ascii="仿宋" w:hAnsi="仿宋" w:eastAsia="仿宋"/>
                <w:sz w:val="24"/>
              </w:rPr>
            </w:pPr>
            <w:r>
              <w:rPr>
                <w:rFonts w:hint="eastAsia" w:ascii="仿宋" w:hAnsi="仿宋" w:eastAsia="仿宋"/>
                <w:sz w:val="24"/>
              </w:rPr>
              <w:t>职业资格证</w:t>
            </w:r>
          </w:p>
          <w:p>
            <w:pPr>
              <w:rPr>
                <w:rFonts w:ascii="仿宋" w:hAnsi="仿宋" w:eastAsia="仿宋"/>
                <w:sz w:val="24"/>
              </w:rPr>
            </w:pPr>
            <w:r>
              <w:rPr>
                <w:rFonts w:hint="eastAsia" w:ascii="仿宋" w:hAnsi="仿宋" w:eastAsia="仿宋"/>
                <w:sz w:val="24"/>
              </w:rPr>
              <w:t>初级会计证</w:t>
            </w:r>
          </w:p>
          <w:p>
            <w:pPr>
              <w:rPr>
                <w:rFonts w:ascii="仿宋" w:hAnsi="仿宋" w:eastAsia="仿宋"/>
                <w:sz w:val="24"/>
              </w:rPr>
            </w:pPr>
            <w:r>
              <w:rPr>
                <w:rFonts w:hint="eastAsia" w:ascii="仿宋" w:hAnsi="仿宋" w:eastAsia="仿宋"/>
                <w:sz w:val="24"/>
              </w:rPr>
              <w:t>普通话水平测试等级证</w:t>
            </w:r>
          </w:p>
          <w:p>
            <w:pPr>
              <w:rPr>
                <w:rFonts w:ascii="仿宋" w:hAnsi="仿宋" w:eastAsia="仿宋"/>
                <w:sz w:val="24"/>
              </w:rPr>
            </w:pPr>
            <w:r>
              <w:rPr>
                <w:rFonts w:hint="eastAsia" w:ascii="仿宋" w:hAnsi="仿宋" w:eastAsia="仿宋"/>
                <w:sz w:val="24"/>
              </w:rPr>
              <w:t>计算机操作员证书</w:t>
            </w:r>
          </w:p>
          <w:p>
            <w:pPr>
              <w:rPr>
                <w:rFonts w:ascii="仿宋" w:hAnsi="仿宋" w:eastAsia="仿宋"/>
                <w:sz w:val="24"/>
              </w:rPr>
            </w:pPr>
            <w:r>
              <w:rPr>
                <w:rFonts w:hint="eastAsia" w:ascii="仿宋" w:hAnsi="仿宋" w:eastAsia="仿宋"/>
                <w:sz w:val="24"/>
              </w:rPr>
              <w:t>互联网财务管理师</w:t>
            </w:r>
          </w:p>
          <w:p>
            <w:pPr>
              <w:rPr>
                <w:rFonts w:ascii="仿宋" w:hAnsi="仿宋" w:eastAsia="仿宋"/>
                <w:sz w:val="24"/>
              </w:rPr>
            </w:pPr>
            <w:r>
              <w:rPr>
                <w:rFonts w:hint="eastAsia" w:ascii="仿宋" w:hAnsi="仿宋" w:eastAsia="仿宋"/>
                <w:sz w:val="24"/>
              </w:rPr>
              <w:t>电子商务客户服务咨询师</w:t>
            </w:r>
          </w:p>
          <w:p>
            <w:pPr>
              <w:rPr>
                <w:rFonts w:ascii="仿宋" w:hAnsi="仿宋" w:eastAsia="仿宋"/>
                <w:sz w:val="24"/>
              </w:rPr>
            </w:pPr>
            <w:r>
              <w:rPr>
                <w:rFonts w:hint="eastAsia" w:ascii="仿宋" w:hAnsi="仿宋" w:eastAsia="仿宋"/>
                <w:sz w:val="24"/>
              </w:rPr>
              <w:t>平面设计师</w:t>
            </w:r>
          </w:p>
          <w:p>
            <w:pPr>
              <w:rPr>
                <w:rFonts w:ascii="仿宋" w:hAnsi="仿宋" w:eastAsia="仿宋"/>
                <w:sz w:val="24"/>
              </w:rPr>
            </w:pPr>
            <w:r>
              <w:rPr>
                <w:rFonts w:hint="eastAsia" w:ascii="仿宋" w:hAnsi="仿宋" w:eastAsia="仿宋"/>
                <w:sz w:val="24"/>
              </w:rPr>
              <w:t>网店运营师</w:t>
            </w:r>
          </w:p>
          <w:p>
            <w:pPr>
              <w:rPr>
                <w:rFonts w:ascii="仿宋" w:hAnsi="仿宋" w:eastAsia="仿宋"/>
                <w:sz w:val="24"/>
              </w:rPr>
            </w:pPr>
            <w:r>
              <w:rPr>
                <w:rFonts w:hint="eastAsia" w:ascii="仿宋" w:hAnsi="仿宋" w:eastAsia="仿宋"/>
                <w:sz w:val="24"/>
              </w:rPr>
              <w:t>网络营销师</w:t>
            </w:r>
          </w:p>
          <w:p>
            <w:pPr>
              <w:rPr>
                <w:rFonts w:ascii="仿宋" w:hAnsi="仿宋" w:eastAsia="仿宋"/>
                <w:sz w:val="24"/>
              </w:rPr>
            </w:pPr>
            <w:r>
              <w:rPr>
                <w:rFonts w:hint="eastAsia" w:ascii="仿宋" w:hAnsi="仿宋" w:eastAsia="仿宋"/>
                <w:sz w:val="24"/>
              </w:rPr>
              <w:t>电子商务支付管理师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2</w:t>
            </w:r>
          </w:p>
        </w:tc>
        <w:tc>
          <w:tcPr>
            <w:tcW w:w="4099"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会</w:t>
            </w:r>
            <w:r>
              <w:rPr>
                <w:rFonts w:ascii="仿宋" w:hAnsi="仿宋" w:eastAsia="仿宋"/>
                <w:color w:val="000000"/>
                <w:sz w:val="24"/>
              </w:rPr>
              <w:t>计核算员</w:t>
            </w:r>
          </w:p>
        </w:tc>
        <w:tc>
          <w:tcPr>
            <w:tcW w:w="3923" w:type="dxa"/>
            <w:vMerge w:val="continue"/>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3</w:t>
            </w:r>
          </w:p>
        </w:tc>
        <w:tc>
          <w:tcPr>
            <w:tcW w:w="4099"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会</w:t>
            </w:r>
            <w:r>
              <w:rPr>
                <w:rFonts w:ascii="仿宋" w:hAnsi="仿宋" w:eastAsia="仿宋"/>
                <w:color w:val="000000"/>
                <w:sz w:val="24"/>
              </w:rPr>
              <w:t>计信息录入员</w:t>
            </w:r>
          </w:p>
        </w:tc>
        <w:tc>
          <w:tcPr>
            <w:tcW w:w="3923" w:type="dxa"/>
            <w:vMerge w:val="continue"/>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4</w:t>
            </w:r>
          </w:p>
        </w:tc>
        <w:tc>
          <w:tcPr>
            <w:tcW w:w="4099"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税</w:t>
            </w:r>
            <w:r>
              <w:rPr>
                <w:rFonts w:ascii="仿宋" w:hAnsi="仿宋" w:eastAsia="仿宋"/>
                <w:color w:val="000000"/>
                <w:sz w:val="24"/>
              </w:rPr>
              <w:t>费核算员</w:t>
            </w:r>
          </w:p>
        </w:tc>
        <w:tc>
          <w:tcPr>
            <w:tcW w:w="3923" w:type="dxa"/>
            <w:vMerge w:val="continue"/>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5</w:t>
            </w:r>
          </w:p>
        </w:tc>
        <w:tc>
          <w:tcPr>
            <w:tcW w:w="4099"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收</w:t>
            </w:r>
            <w:r>
              <w:rPr>
                <w:rFonts w:ascii="仿宋" w:hAnsi="仿宋" w:eastAsia="仿宋"/>
                <w:color w:val="000000"/>
                <w:sz w:val="24"/>
              </w:rPr>
              <w:t>银员</w:t>
            </w:r>
          </w:p>
        </w:tc>
        <w:tc>
          <w:tcPr>
            <w:tcW w:w="3923" w:type="dxa"/>
            <w:vMerge w:val="continue"/>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4" w:type="dxa"/>
            <w:vAlign w:val="center"/>
          </w:tcPr>
          <w:p>
            <w:pPr>
              <w:spacing w:line="320" w:lineRule="exact"/>
              <w:jc w:val="center"/>
              <w:rPr>
                <w:rFonts w:ascii="仿宋" w:hAnsi="仿宋" w:eastAsia="仿宋"/>
                <w:color w:val="000000"/>
                <w:sz w:val="24"/>
              </w:rPr>
            </w:pPr>
            <w:r>
              <w:rPr>
                <w:rFonts w:ascii="仿宋" w:hAnsi="仿宋" w:eastAsia="仿宋"/>
                <w:color w:val="000000"/>
                <w:sz w:val="24"/>
              </w:rPr>
              <w:t>6</w:t>
            </w:r>
          </w:p>
        </w:tc>
        <w:tc>
          <w:tcPr>
            <w:tcW w:w="4099" w:type="dxa"/>
            <w:vAlign w:val="center"/>
          </w:tcPr>
          <w:p>
            <w:pPr>
              <w:spacing w:line="320" w:lineRule="exact"/>
              <w:jc w:val="center"/>
              <w:rPr>
                <w:rFonts w:ascii="仿宋" w:hAnsi="仿宋" w:eastAsia="仿宋"/>
                <w:color w:val="000000"/>
                <w:sz w:val="24"/>
              </w:rPr>
            </w:pPr>
            <w:r>
              <w:rPr>
                <w:rFonts w:hint="eastAsia" w:ascii="仿宋" w:hAnsi="仿宋" w:eastAsia="仿宋"/>
                <w:color w:val="000000"/>
                <w:sz w:val="24"/>
              </w:rPr>
              <w:t>自媒体营销专员</w:t>
            </w:r>
          </w:p>
        </w:tc>
        <w:tc>
          <w:tcPr>
            <w:tcW w:w="3923" w:type="dxa"/>
            <w:vMerge w:val="continue"/>
            <w:vAlign w:val="center"/>
          </w:tcPr>
          <w:p>
            <w:pPr>
              <w:rPr>
                <w:rFonts w:ascii="仿宋" w:hAnsi="仿宋" w:eastAsia="仿宋"/>
                <w:sz w:val="24"/>
              </w:rPr>
            </w:pPr>
          </w:p>
        </w:tc>
      </w:tr>
    </w:tbl>
    <w:p>
      <w:pPr>
        <w:overflowPunct w:val="0"/>
        <w:rPr>
          <w:rFonts w:ascii="黑体" w:hAnsi="黑体" w:eastAsia="黑体"/>
          <w:b/>
          <w:sz w:val="28"/>
          <w:szCs w:val="30"/>
        </w:rPr>
      </w:pPr>
      <w:r>
        <w:rPr>
          <w:rFonts w:hint="eastAsia" w:ascii="黑体" w:hAnsi="黑体" w:eastAsia="黑体"/>
          <w:b/>
          <w:sz w:val="28"/>
          <w:szCs w:val="30"/>
        </w:rPr>
        <w:t>五、培养目标与培养规格</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1、培养目标</w:t>
      </w:r>
    </w:p>
    <w:p>
      <w:pPr>
        <w:pStyle w:val="25"/>
        <w:spacing w:line="360" w:lineRule="auto"/>
        <w:ind w:firstLine="283" w:firstLineChars="118"/>
        <w:jc w:val="left"/>
        <w:rPr>
          <w:rFonts w:hAnsi="宋体"/>
        </w:rPr>
      </w:pPr>
      <w:r>
        <w:rPr>
          <w:rFonts w:hint="eastAsia" w:hAnsi="宋体"/>
        </w:rPr>
        <w:t>本专业以培养具有互联网营销知识和财会知识等专业的职业岗位能力为培养目标，以互联网营销、财会行业对毕业生的满意度和学生可持续发展为重要检验标准，培养互联网领域和会计电算化领域发展需要的、能胜任相关职业岗位群工作的、技术型应用性人才。</w:t>
      </w:r>
    </w:p>
    <w:p>
      <w:pPr>
        <w:pStyle w:val="25"/>
        <w:spacing w:line="360" w:lineRule="auto"/>
        <w:ind w:firstLine="283" w:firstLineChars="118"/>
        <w:jc w:val="left"/>
        <w:rPr>
          <w:rFonts w:hAnsi="宋体"/>
        </w:rPr>
      </w:pPr>
      <w:r>
        <w:rPr>
          <w:rFonts w:hint="eastAsia" w:hAnsi="宋体"/>
        </w:rPr>
        <w:t>要求掌握职业道德和职业素养基础知识；热爱社会主义祖国，具有爱国主义、集体主义、社会主义思想和良好的道德素养；遵纪守法、艰苦奋斗、热爱劳动。</w:t>
      </w:r>
    </w:p>
    <w:p>
      <w:pPr>
        <w:pStyle w:val="25"/>
        <w:spacing w:line="360" w:lineRule="auto"/>
        <w:ind w:firstLine="283" w:firstLineChars="118"/>
        <w:jc w:val="left"/>
        <w:rPr>
          <w:rFonts w:hAnsi="宋体"/>
        </w:rPr>
      </w:pPr>
      <w:r>
        <w:rPr>
          <w:rFonts w:hint="eastAsia" w:hAnsi="宋体"/>
        </w:rPr>
        <w:t>具备本专业所必需的文化基础知识和专业知识，掌握本行业劳动技能和专业技能；具有一定的分析问题和解决问题的能力；具有一定的自学和获取信息的能力；具有计算机和外语的应用能力；具有实事求是、勇于创新、善于创业的精神；具有良好的职业道德。</w:t>
      </w:r>
    </w:p>
    <w:p>
      <w:pPr>
        <w:pStyle w:val="25"/>
        <w:spacing w:line="360" w:lineRule="auto"/>
        <w:ind w:firstLine="283" w:firstLineChars="118"/>
        <w:jc w:val="left"/>
        <w:rPr>
          <w:rFonts w:hAnsi="宋体"/>
        </w:rPr>
      </w:pPr>
      <w:r>
        <w:rPr>
          <w:rFonts w:hint="eastAsia" w:hAnsi="宋体"/>
        </w:rPr>
        <w:t>具有一定的体育运动和卫生保健知识，养成锻炼身体的习惯，掌握一定的运动技能，达到《国家体育锻炼标准》有关要求，身体健康，具有良好的心理素质。</w:t>
      </w:r>
    </w:p>
    <w:p>
      <w:pPr>
        <w:pStyle w:val="25"/>
        <w:spacing w:line="360" w:lineRule="auto"/>
        <w:ind w:firstLine="283" w:firstLineChars="118"/>
        <w:jc w:val="left"/>
        <w:rPr>
          <w:rFonts w:hAnsi="宋体"/>
        </w:rPr>
      </w:pPr>
      <w:r>
        <w:rPr>
          <w:rFonts w:hint="eastAsia" w:hAnsi="宋体"/>
        </w:rPr>
        <w:t>具有健康的审美意识和环保意识，对大自然、社会生活、文化艺术等有一定的审美鉴赏能力，善于协作办事。</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2、培养规格</w:t>
      </w:r>
    </w:p>
    <w:p>
      <w:pPr>
        <w:pStyle w:val="25"/>
        <w:spacing w:line="360" w:lineRule="auto"/>
        <w:ind w:firstLine="283" w:firstLineChars="118"/>
        <w:jc w:val="left"/>
        <w:rPr>
          <w:rFonts w:hAnsi="宋体"/>
        </w:rPr>
      </w:pPr>
      <w:r>
        <w:rPr>
          <w:rFonts w:hint="eastAsia" w:hAnsi="宋体"/>
        </w:rPr>
        <w:t>（1）树立正确的就业观和职业观，具有严谨、务实、诚信、敬业的职业道德；</w:t>
      </w:r>
    </w:p>
    <w:p>
      <w:pPr>
        <w:pStyle w:val="25"/>
        <w:spacing w:line="360" w:lineRule="auto"/>
        <w:ind w:firstLine="283" w:firstLineChars="118"/>
        <w:jc w:val="left"/>
        <w:rPr>
          <w:rFonts w:hAnsi="宋体"/>
        </w:rPr>
      </w:pPr>
      <w:r>
        <w:rPr>
          <w:rFonts w:hint="eastAsia" w:hAnsi="宋体"/>
        </w:rPr>
        <w:t>（2）具有良好的人文素质，较强的语言表达能力和与他人沟通的能力，具有良好的身体素质；</w:t>
      </w:r>
    </w:p>
    <w:p>
      <w:pPr>
        <w:pStyle w:val="25"/>
        <w:spacing w:line="360" w:lineRule="auto"/>
        <w:ind w:firstLine="283" w:firstLineChars="118"/>
        <w:jc w:val="left"/>
        <w:rPr>
          <w:rFonts w:hAnsi="宋体"/>
        </w:rPr>
      </w:pPr>
      <w:r>
        <w:rPr>
          <w:rFonts w:hint="eastAsia" w:hAnsi="宋体"/>
        </w:rPr>
        <w:t>（3）具备获取求职信息及撰写求职自荐书的能力；</w:t>
      </w:r>
    </w:p>
    <w:p>
      <w:pPr>
        <w:pStyle w:val="25"/>
        <w:spacing w:line="360" w:lineRule="auto"/>
        <w:ind w:firstLine="283" w:firstLineChars="118"/>
        <w:jc w:val="left"/>
        <w:rPr>
          <w:rFonts w:hAnsi="宋体"/>
        </w:rPr>
      </w:pPr>
      <w:r>
        <w:rPr>
          <w:rFonts w:hint="eastAsia" w:hAnsi="宋体"/>
        </w:rPr>
        <w:t>（4）通过计算机考试，具备一定的计算机应用能力；</w:t>
      </w:r>
    </w:p>
    <w:p>
      <w:pPr>
        <w:pStyle w:val="25"/>
        <w:spacing w:line="360" w:lineRule="auto"/>
        <w:ind w:firstLine="283" w:firstLineChars="118"/>
        <w:jc w:val="left"/>
        <w:rPr>
          <w:rFonts w:hAnsi="宋体"/>
        </w:rPr>
      </w:pPr>
      <w:r>
        <w:rPr>
          <w:rFonts w:hint="eastAsia" w:hAnsi="宋体"/>
        </w:rPr>
        <w:t>（5）具备阅读和本专业一般性英文资料的能力，具备基本的英语交流的能力。</w:t>
      </w:r>
    </w:p>
    <w:p>
      <w:pPr>
        <w:pStyle w:val="25"/>
        <w:spacing w:line="360" w:lineRule="auto"/>
        <w:ind w:firstLine="283" w:firstLineChars="118"/>
        <w:jc w:val="left"/>
        <w:rPr>
          <w:rFonts w:hAnsi="宋体"/>
        </w:rPr>
      </w:pPr>
      <w:r>
        <w:rPr>
          <w:rFonts w:hint="eastAsia" w:hAnsi="宋体"/>
        </w:rPr>
        <w:t>（6）具有经济业务、票据辨识能力；</w:t>
      </w:r>
    </w:p>
    <w:p>
      <w:pPr>
        <w:pStyle w:val="25"/>
        <w:spacing w:line="360" w:lineRule="auto"/>
        <w:ind w:firstLine="283" w:firstLineChars="118"/>
        <w:jc w:val="left"/>
        <w:rPr>
          <w:rFonts w:hAnsi="宋体"/>
        </w:rPr>
      </w:pPr>
      <w:r>
        <w:rPr>
          <w:rFonts w:hint="eastAsia" w:hAnsi="宋体"/>
        </w:rPr>
        <w:t>（7）具备会计信息化处理能力；</w:t>
      </w:r>
    </w:p>
    <w:p>
      <w:pPr>
        <w:pStyle w:val="25"/>
        <w:spacing w:line="360" w:lineRule="auto"/>
        <w:ind w:firstLine="283" w:firstLineChars="118"/>
        <w:jc w:val="left"/>
        <w:rPr>
          <w:rFonts w:hAnsi="宋体"/>
        </w:rPr>
      </w:pPr>
      <w:r>
        <w:rPr>
          <w:rFonts w:hint="eastAsia" w:hAnsi="宋体"/>
        </w:rPr>
        <w:t>（8）具备财产清查能力；</w:t>
      </w:r>
      <w:r>
        <w:rPr>
          <w:rFonts w:hint="eastAsia" w:hAnsi="宋体"/>
        </w:rPr>
        <w:tab/>
      </w:r>
    </w:p>
    <w:p>
      <w:pPr>
        <w:pStyle w:val="25"/>
        <w:spacing w:line="360" w:lineRule="auto"/>
        <w:ind w:firstLine="283" w:firstLineChars="118"/>
        <w:jc w:val="left"/>
        <w:rPr>
          <w:rFonts w:hAnsi="宋体"/>
        </w:rPr>
      </w:pPr>
      <w:r>
        <w:rPr>
          <w:rFonts w:hint="eastAsia" w:hAnsi="宋体"/>
        </w:rPr>
        <w:t>（9）初步具备账务清查、查错能力。</w:t>
      </w:r>
    </w:p>
    <w:p>
      <w:pPr>
        <w:pStyle w:val="25"/>
        <w:spacing w:line="360" w:lineRule="auto"/>
        <w:ind w:firstLine="283" w:firstLineChars="118"/>
        <w:jc w:val="left"/>
        <w:rPr>
          <w:rFonts w:hAnsi="宋体"/>
        </w:rPr>
      </w:pPr>
      <w:r>
        <w:rPr>
          <w:rFonts w:hint="eastAsia" w:hAnsi="宋体"/>
        </w:rPr>
        <w:t>（10）具有体育卫生和运动保健素养；树立自觉锻炼、终生锻炼身体的意识；体魄良好，体能达到规定标准</w:t>
      </w:r>
    </w:p>
    <w:p>
      <w:pPr>
        <w:overflowPunct w:val="0"/>
        <w:rPr>
          <w:rFonts w:ascii="黑体" w:hAnsi="黑体" w:eastAsia="黑体"/>
          <w:b/>
          <w:sz w:val="28"/>
          <w:szCs w:val="30"/>
        </w:rPr>
      </w:pPr>
      <w:r>
        <w:rPr>
          <w:rFonts w:hint="eastAsia" w:ascii="黑体" w:hAnsi="黑体" w:eastAsia="黑体"/>
          <w:b/>
          <w:sz w:val="28"/>
          <w:szCs w:val="30"/>
        </w:rPr>
        <w:t>六、课程设置及要求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根据培养目标和岗位群的能力要求，本专业课程设置分为公共基础课和专业技能课。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公共基础课包括德育课，文化课，体育与健康，艺术（或音乐、美术）、历史以及其他自然科学和人文科学类基础课。</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专业技能课包括专业核心课和专业（技能）方向课，</w:t>
      </w:r>
      <w:r>
        <w:rPr>
          <w:rFonts w:ascii="仿宋_GB2312" w:eastAsia="仿宋_GB2312"/>
          <w:sz w:val="24"/>
          <w:szCs w:val="30"/>
        </w:rPr>
        <w:t>专业核心课针对职业岗位（群）共同具有的工作任务和职业能力，是不同专业（技能）方向必备的共同专业基础知识和基本技能。</w:t>
      </w:r>
      <w:r>
        <w:rPr>
          <w:rFonts w:hint="eastAsia" w:ascii="仿宋_GB2312" w:eastAsia="仿宋_GB2312"/>
          <w:sz w:val="24"/>
          <w:szCs w:val="30"/>
        </w:rPr>
        <w:t>实习实训是专业技能课教学的重要内容，含校内外实训、顶岗实习等多种形式。</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1、公共基础课</w:t>
      </w:r>
    </w:p>
    <w:tbl>
      <w:tblPr>
        <w:tblStyle w:val="11"/>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47"/>
        <w:gridCol w:w="5831"/>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839" w:type="dxa"/>
            <w:shd w:val="clear" w:color="auto" w:fill="auto"/>
            <w:vAlign w:val="center"/>
          </w:tcPr>
          <w:p>
            <w:pPr>
              <w:spacing w:line="420" w:lineRule="exact"/>
              <w:jc w:val="center"/>
              <w:rPr>
                <w:rFonts w:ascii="仿宋" w:hAnsi="仿宋" w:eastAsia="仿宋" w:cs="宋体"/>
                <w:b/>
                <w:sz w:val="24"/>
              </w:rPr>
            </w:pPr>
            <w:r>
              <w:rPr>
                <w:rFonts w:hint="eastAsia" w:ascii="仿宋" w:hAnsi="仿宋" w:eastAsia="仿宋" w:cs="宋体"/>
                <w:b/>
                <w:sz w:val="24"/>
              </w:rPr>
              <w:t>序号</w:t>
            </w:r>
          </w:p>
        </w:tc>
        <w:tc>
          <w:tcPr>
            <w:tcW w:w="1547" w:type="dxa"/>
            <w:shd w:val="clear" w:color="auto" w:fill="auto"/>
            <w:vAlign w:val="center"/>
          </w:tcPr>
          <w:p>
            <w:pPr>
              <w:spacing w:line="420" w:lineRule="exact"/>
              <w:jc w:val="center"/>
              <w:rPr>
                <w:rFonts w:ascii="仿宋" w:hAnsi="仿宋" w:eastAsia="仿宋" w:cs="宋体"/>
                <w:b/>
                <w:sz w:val="24"/>
              </w:rPr>
            </w:pPr>
            <w:r>
              <w:rPr>
                <w:rFonts w:hint="eastAsia" w:ascii="仿宋" w:hAnsi="仿宋" w:eastAsia="仿宋" w:cs="宋体"/>
                <w:b/>
                <w:sz w:val="24"/>
              </w:rPr>
              <w:t>课程名称</w:t>
            </w:r>
          </w:p>
        </w:tc>
        <w:tc>
          <w:tcPr>
            <w:tcW w:w="5831" w:type="dxa"/>
            <w:shd w:val="clear" w:color="auto" w:fill="auto"/>
            <w:vAlign w:val="center"/>
          </w:tcPr>
          <w:p>
            <w:pPr>
              <w:spacing w:line="420" w:lineRule="exact"/>
              <w:jc w:val="center"/>
              <w:rPr>
                <w:rFonts w:ascii="仿宋" w:hAnsi="仿宋" w:eastAsia="仿宋" w:cs="宋体"/>
                <w:b/>
                <w:sz w:val="24"/>
              </w:rPr>
            </w:pPr>
            <w:r>
              <w:rPr>
                <w:rFonts w:hint="eastAsia" w:ascii="仿宋" w:hAnsi="仿宋" w:eastAsia="仿宋" w:cs="宋体"/>
                <w:b/>
                <w:sz w:val="24"/>
              </w:rPr>
              <w:t>主要教学内容和要求</w:t>
            </w:r>
          </w:p>
        </w:tc>
        <w:tc>
          <w:tcPr>
            <w:tcW w:w="845" w:type="dxa"/>
            <w:shd w:val="clear" w:color="auto" w:fill="auto"/>
            <w:vAlign w:val="center"/>
          </w:tcPr>
          <w:p>
            <w:pPr>
              <w:spacing w:line="420" w:lineRule="exact"/>
              <w:jc w:val="center"/>
              <w:rPr>
                <w:rFonts w:ascii="仿宋" w:hAnsi="仿宋" w:eastAsia="仿宋" w:cs="宋体"/>
                <w:b/>
                <w:sz w:val="24"/>
              </w:rPr>
            </w:pPr>
            <w:r>
              <w:rPr>
                <w:rFonts w:hint="eastAsia" w:ascii="仿宋" w:hAnsi="仿宋" w:eastAsia="仿宋" w:cs="宋体"/>
                <w:b/>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职业生涯规划</w:t>
            </w:r>
          </w:p>
        </w:tc>
        <w:tc>
          <w:tcPr>
            <w:tcW w:w="5831"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依据《中等职业学校职业生涯规划教学大纲》开设，并注重引导学生树立正确的职业观念和职业理想，学会根据社会需要和自身特点进行职业生涯规划，并以此规范和调整自己的行为，为顺利就业、创业创造条件。</w:t>
            </w:r>
          </w:p>
        </w:tc>
        <w:tc>
          <w:tcPr>
            <w:tcW w:w="845"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2</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职业道德</w:t>
            </w:r>
          </w:p>
          <w:p>
            <w:pPr>
              <w:spacing w:line="420" w:lineRule="exact"/>
              <w:jc w:val="center"/>
              <w:rPr>
                <w:rFonts w:ascii="仿宋" w:hAnsi="仿宋" w:eastAsia="仿宋" w:cs="宋体"/>
                <w:sz w:val="24"/>
              </w:rPr>
            </w:pPr>
            <w:r>
              <w:rPr>
                <w:rFonts w:hint="eastAsia" w:ascii="仿宋" w:hAnsi="仿宋" w:eastAsia="仿宋" w:cs="宋体"/>
                <w:sz w:val="24"/>
              </w:rPr>
              <w:t>与法律</w:t>
            </w:r>
          </w:p>
        </w:tc>
        <w:tc>
          <w:tcPr>
            <w:tcW w:w="5831"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依据《中等职业学校职业道德与法律教学大纲》开设，并注重提高学生的职业道德素质和法律素质，引导学生树立社会主义荣辱观，增强社会主义法治意识。</w:t>
            </w:r>
          </w:p>
        </w:tc>
        <w:tc>
          <w:tcPr>
            <w:tcW w:w="845"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3</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经济政治</w:t>
            </w:r>
          </w:p>
          <w:p>
            <w:pPr>
              <w:spacing w:line="420" w:lineRule="exact"/>
              <w:jc w:val="center"/>
              <w:rPr>
                <w:rFonts w:ascii="仿宋" w:hAnsi="仿宋" w:eastAsia="仿宋" w:cs="宋体"/>
                <w:sz w:val="24"/>
              </w:rPr>
            </w:pPr>
            <w:r>
              <w:rPr>
                <w:rFonts w:hint="eastAsia" w:ascii="仿宋" w:hAnsi="仿宋" w:eastAsia="仿宋" w:cs="宋体"/>
                <w:sz w:val="24"/>
              </w:rPr>
              <w:t>与社会</w:t>
            </w:r>
          </w:p>
        </w:tc>
        <w:tc>
          <w:tcPr>
            <w:tcW w:w="5831"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依据《中等职业学校经济政治与社会教学大纲》开设，并注重引导学生认同我国的经济、政治制度，了解所处的文化和社会环境，树立中国特色社会主义共同理想，积极投身我国经济、政治、文化、社会建设。</w:t>
            </w:r>
          </w:p>
        </w:tc>
        <w:tc>
          <w:tcPr>
            <w:tcW w:w="845"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4</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哲学与</w:t>
            </w:r>
          </w:p>
          <w:p>
            <w:pPr>
              <w:spacing w:line="420" w:lineRule="exact"/>
              <w:jc w:val="center"/>
              <w:rPr>
                <w:rFonts w:ascii="仿宋" w:hAnsi="仿宋" w:eastAsia="仿宋" w:cs="宋体"/>
                <w:sz w:val="24"/>
              </w:rPr>
            </w:pPr>
            <w:r>
              <w:rPr>
                <w:rFonts w:hint="eastAsia" w:ascii="仿宋" w:hAnsi="仿宋" w:eastAsia="仿宋" w:cs="宋体"/>
                <w:sz w:val="24"/>
              </w:rPr>
              <w:t>人生</w:t>
            </w:r>
          </w:p>
        </w:tc>
        <w:tc>
          <w:tcPr>
            <w:tcW w:w="5831"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依据《中等职业学校哲学与人生教学大纲》开设，并注重引导学生学习运用辩证唯物主义和历史唯物主义的观点和方法，树立和追求崇高理想，逐步形成正确的世界观、人生观和价值观。</w:t>
            </w:r>
          </w:p>
        </w:tc>
        <w:tc>
          <w:tcPr>
            <w:tcW w:w="845"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5</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语文</w:t>
            </w:r>
          </w:p>
        </w:tc>
        <w:tc>
          <w:tcPr>
            <w:tcW w:w="5831" w:type="dxa"/>
            <w:shd w:val="clear" w:color="auto" w:fill="auto"/>
            <w:vAlign w:val="center"/>
          </w:tcPr>
          <w:p>
            <w:pPr>
              <w:pStyle w:val="25"/>
              <w:spacing w:line="360" w:lineRule="auto"/>
              <w:ind w:firstLine="0" w:firstLineChars="0"/>
              <w:jc w:val="left"/>
              <w:rPr>
                <w:rFonts w:hAnsi="宋体"/>
              </w:rPr>
            </w:pPr>
            <w:r>
              <w:rPr>
                <w:rFonts w:hint="eastAsia" w:hAnsi="宋体"/>
              </w:rPr>
              <w:t>在初中语文的基础上，进一步加强现代文和文言文阅读训练，提高学生阅读现代文和浅易文言文的能力；加强文学作品阅读教学，培养学生欣赏文学作品的能力；加强写作和口语交际训练，提高学生应用文写作能力和日常口语交际水平。使学生进一步巩固和扩展必需的语文基础知识，养成自学和运用语文的良好习惯。</w:t>
            </w:r>
          </w:p>
        </w:tc>
        <w:tc>
          <w:tcPr>
            <w:tcW w:w="845"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6</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数学</w:t>
            </w:r>
          </w:p>
        </w:tc>
        <w:tc>
          <w:tcPr>
            <w:tcW w:w="5831" w:type="dxa"/>
            <w:shd w:val="clear" w:color="auto" w:fill="auto"/>
            <w:vAlign w:val="center"/>
          </w:tcPr>
          <w:p>
            <w:pPr>
              <w:pStyle w:val="25"/>
              <w:spacing w:line="360" w:lineRule="auto"/>
              <w:ind w:firstLine="0" w:firstLineChars="0"/>
              <w:jc w:val="left"/>
              <w:rPr>
                <w:rFonts w:hAnsi="宋体"/>
              </w:rPr>
            </w:pPr>
            <w:r>
              <w:rPr>
                <w:rFonts w:hint="eastAsia" w:hAnsi="宋体"/>
              </w:rPr>
              <w:t>在初中数学的基础上，进一步学习数学的基础知识。必学与限定选学内容：集合与逻辑用语、不等式、函数、指数函数与对数函数、任意角的三角函数、数列与数列极限、向量、复数、解析几何、立体几何、排列与组合、概率与统计初步。选学内容：极限与导数、导数的应用、积分及其应用、统计。通过教学，提高学生的数学素养，培养学生的基本运算、基本计算工具使用、空间想象、数形结合、思维和简单实际应用等能力，为学习专业课打下基础。</w:t>
            </w:r>
          </w:p>
        </w:tc>
        <w:tc>
          <w:tcPr>
            <w:tcW w:w="845"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7</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英语</w:t>
            </w:r>
          </w:p>
        </w:tc>
        <w:tc>
          <w:tcPr>
            <w:tcW w:w="5831" w:type="dxa"/>
            <w:shd w:val="clear" w:color="auto" w:fill="auto"/>
            <w:vAlign w:val="center"/>
          </w:tcPr>
          <w:p>
            <w:pPr>
              <w:pStyle w:val="25"/>
              <w:spacing w:line="360" w:lineRule="auto"/>
              <w:ind w:firstLine="0" w:firstLineChars="0"/>
              <w:jc w:val="left"/>
              <w:rPr>
                <w:rFonts w:hAnsi="宋体"/>
              </w:rPr>
            </w:pPr>
            <w:r>
              <w:rPr>
                <w:rFonts w:hint="eastAsia" w:hAnsi="宋体"/>
              </w:rPr>
              <w:t>在初中英语的基础上，巩固、扩展学生的基础词汇和基础语法；培养学生听、说、读、写的基本技能和运用英语进行交际的能力；使学生能听懂简单对话和短文，能围绕日常话题进行初步交际，能读懂简单应用文，能模拟套写语篇及简单应用文；提高学生自主学习和继续学习的能力</w:t>
            </w:r>
          </w:p>
        </w:tc>
        <w:tc>
          <w:tcPr>
            <w:tcW w:w="845"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8</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计算机</w:t>
            </w:r>
          </w:p>
          <w:p>
            <w:pPr>
              <w:spacing w:line="420" w:lineRule="exact"/>
              <w:jc w:val="center"/>
              <w:rPr>
                <w:rFonts w:ascii="仿宋" w:hAnsi="仿宋" w:eastAsia="仿宋" w:cs="宋体"/>
                <w:sz w:val="24"/>
              </w:rPr>
            </w:pPr>
            <w:r>
              <w:rPr>
                <w:rFonts w:hint="eastAsia" w:ascii="仿宋" w:hAnsi="仿宋" w:eastAsia="仿宋" w:cs="宋体"/>
                <w:sz w:val="24"/>
              </w:rPr>
              <w:t>应用基础</w:t>
            </w:r>
          </w:p>
        </w:tc>
        <w:tc>
          <w:tcPr>
            <w:tcW w:w="5831" w:type="dxa"/>
            <w:shd w:val="clear" w:color="auto" w:fill="auto"/>
            <w:vAlign w:val="center"/>
          </w:tcPr>
          <w:p>
            <w:pPr>
              <w:pStyle w:val="25"/>
              <w:spacing w:line="360" w:lineRule="auto"/>
              <w:ind w:firstLine="0" w:firstLineChars="0"/>
              <w:jc w:val="left"/>
              <w:rPr>
                <w:rFonts w:hAnsi="宋体"/>
              </w:rPr>
            </w:pPr>
            <w:r>
              <w:rPr>
                <w:rFonts w:hint="eastAsia" w:hAnsi="宋体"/>
              </w:rPr>
              <w:t>学习计算机的基础知识、常用操作系统的使用、文字处理软件的使用、计算机网络的基本操作和使用，掌握计算机操作的基本技能.</w:t>
            </w:r>
          </w:p>
        </w:tc>
        <w:tc>
          <w:tcPr>
            <w:tcW w:w="845"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9</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体育与</w:t>
            </w:r>
          </w:p>
          <w:p>
            <w:pPr>
              <w:spacing w:line="420" w:lineRule="exact"/>
              <w:jc w:val="center"/>
              <w:rPr>
                <w:rFonts w:ascii="仿宋" w:hAnsi="仿宋" w:eastAsia="仿宋" w:cs="宋体"/>
                <w:sz w:val="24"/>
              </w:rPr>
            </w:pPr>
            <w:r>
              <w:rPr>
                <w:rFonts w:hint="eastAsia" w:ascii="仿宋" w:hAnsi="仿宋" w:eastAsia="仿宋" w:cs="宋体"/>
                <w:sz w:val="24"/>
              </w:rPr>
              <w:t>健康</w:t>
            </w:r>
          </w:p>
        </w:tc>
        <w:tc>
          <w:tcPr>
            <w:tcW w:w="5831" w:type="dxa"/>
            <w:shd w:val="clear" w:color="auto" w:fill="auto"/>
            <w:vAlign w:val="center"/>
          </w:tcPr>
          <w:p>
            <w:pPr>
              <w:pStyle w:val="25"/>
              <w:spacing w:line="360" w:lineRule="auto"/>
              <w:ind w:firstLine="0" w:firstLineChars="0"/>
              <w:jc w:val="left"/>
              <w:rPr>
                <w:rFonts w:hAnsi="宋体"/>
              </w:rPr>
            </w:pPr>
            <w:r>
              <w:rPr>
                <w:rFonts w:hint="eastAsia" w:hAnsi="宋体"/>
              </w:rPr>
              <w:t>在初中相关课程的基础上，进一步学习体育与卫生保健的基础知识和运动技能，掌握科学锻炼和娱乐休闲的基本方法，养成自觉锻炼的习惯：培养自主锻炼、自我保健、自我评价和自我调控的意识，全面提高身心素质和社会适应能力，为终身锻炼与创业立业奠定基础。</w:t>
            </w:r>
          </w:p>
        </w:tc>
        <w:tc>
          <w:tcPr>
            <w:tcW w:w="845"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10</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公共艺术</w:t>
            </w:r>
          </w:p>
        </w:tc>
        <w:tc>
          <w:tcPr>
            <w:tcW w:w="5831"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公共艺术课程是中等职业学校学生必修的一门公共基础课程。本课程融合音乐、美术等多种艺术门类，衔接九年义务教育阶段的相关艺术课程，具有基础性、综合性、审美性、人文性和实践性的特点，是中等职业学校实施美育的主要途径和内容。</w:t>
            </w:r>
          </w:p>
        </w:tc>
        <w:tc>
          <w:tcPr>
            <w:tcW w:w="845"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11</w:t>
            </w:r>
          </w:p>
        </w:tc>
        <w:tc>
          <w:tcPr>
            <w:tcW w:w="1547"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历史</w:t>
            </w:r>
          </w:p>
        </w:tc>
        <w:tc>
          <w:tcPr>
            <w:tcW w:w="5831" w:type="dxa"/>
            <w:shd w:val="clear" w:color="auto" w:fill="auto"/>
            <w:vAlign w:val="center"/>
          </w:tcPr>
          <w:p>
            <w:pPr>
              <w:spacing w:line="420" w:lineRule="exact"/>
              <w:rPr>
                <w:rFonts w:ascii="仿宋" w:hAnsi="仿宋" w:eastAsia="仿宋" w:cs="宋体"/>
                <w:sz w:val="24"/>
              </w:rPr>
            </w:pPr>
            <w:r>
              <w:rPr>
                <w:rFonts w:hint="eastAsia" w:ascii="仿宋" w:hAnsi="仿宋" w:eastAsia="仿宋" w:cs="宋体"/>
                <w:sz w:val="24"/>
              </w:rPr>
              <w:t>历史课程是中等职业学校学生必修的一门公共基础课程。在九年义务教育的基础上，促进中等职业学校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中等职业学校学生未来的学习、工作和生活打下基础。</w:t>
            </w:r>
          </w:p>
        </w:tc>
        <w:tc>
          <w:tcPr>
            <w:tcW w:w="845" w:type="dxa"/>
            <w:shd w:val="clear" w:color="auto" w:fill="auto"/>
            <w:vAlign w:val="center"/>
          </w:tcPr>
          <w:p>
            <w:pPr>
              <w:spacing w:line="420" w:lineRule="exact"/>
              <w:jc w:val="center"/>
              <w:rPr>
                <w:rFonts w:ascii="仿宋" w:hAnsi="仿宋" w:eastAsia="仿宋" w:cs="宋体"/>
                <w:sz w:val="24"/>
              </w:rPr>
            </w:pPr>
            <w:r>
              <w:rPr>
                <w:rFonts w:hint="eastAsia" w:ascii="仿宋" w:hAnsi="仿宋" w:eastAsia="仿宋" w:cs="宋体"/>
                <w:sz w:val="24"/>
              </w:rPr>
              <w:t>36</w:t>
            </w: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2．专业</w:t>
      </w:r>
      <w:r>
        <w:rPr>
          <w:rFonts w:hint="eastAsia" w:ascii="仿宋_GB2312" w:eastAsia="仿宋_GB2312"/>
          <w:sz w:val="24"/>
          <w:szCs w:val="30"/>
        </w:rPr>
        <w:t>技能课</w:t>
      </w:r>
    </w:p>
    <w:p>
      <w:pPr>
        <w:overflowPunct w:val="0"/>
        <w:spacing w:line="360" w:lineRule="auto"/>
        <w:ind w:firstLine="340" w:firstLineChars="142"/>
        <w:rPr>
          <w:rFonts w:ascii="楷体_GB2312" w:eastAsia="楷体_GB2312"/>
          <w:sz w:val="30"/>
          <w:szCs w:val="30"/>
        </w:rPr>
      </w:pPr>
      <w:r>
        <w:rPr>
          <w:rFonts w:hint="eastAsia" w:ascii="仿宋_GB2312" w:eastAsia="仿宋_GB2312"/>
          <w:sz w:val="24"/>
          <w:szCs w:val="30"/>
        </w:rPr>
        <w:t>（1）专业核心课</w:t>
      </w:r>
    </w:p>
    <w:tbl>
      <w:tblPr>
        <w:tblStyle w:val="1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01"/>
        <w:gridCol w:w="567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blHeader/>
          <w:jc w:val="center"/>
        </w:trPr>
        <w:tc>
          <w:tcPr>
            <w:tcW w:w="846" w:type="dxa"/>
            <w:shd w:val="clear" w:color="auto" w:fill="auto"/>
            <w:vAlign w:val="center"/>
          </w:tcPr>
          <w:p>
            <w:pPr>
              <w:pStyle w:val="25"/>
              <w:spacing w:line="360" w:lineRule="auto"/>
              <w:ind w:firstLine="0" w:firstLineChars="0"/>
              <w:jc w:val="center"/>
              <w:rPr>
                <w:rFonts w:hAnsi="宋体"/>
                <w:b/>
              </w:rPr>
            </w:pPr>
            <w:r>
              <w:rPr>
                <w:rFonts w:hint="eastAsia" w:hAnsi="宋体"/>
                <w:b/>
              </w:rPr>
              <w:t>序号</w:t>
            </w:r>
          </w:p>
        </w:tc>
        <w:tc>
          <w:tcPr>
            <w:tcW w:w="1701" w:type="dxa"/>
            <w:shd w:val="clear" w:color="auto" w:fill="auto"/>
            <w:vAlign w:val="center"/>
          </w:tcPr>
          <w:p>
            <w:pPr>
              <w:pStyle w:val="25"/>
              <w:spacing w:line="360" w:lineRule="auto"/>
              <w:ind w:firstLine="0" w:firstLineChars="0"/>
              <w:jc w:val="center"/>
              <w:rPr>
                <w:rFonts w:hAnsi="宋体"/>
                <w:b/>
              </w:rPr>
            </w:pPr>
            <w:r>
              <w:rPr>
                <w:rFonts w:hint="eastAsia" w:hAnsi="宋体"/>
                <w:b/>
              </w:rPr>
              <w:t>课程名称</w:t>
            </w:r>
          </w:p>
        </w:tc>
        <w:tc>
          <w:tcPr>
            <w:tcW w:w="5670" w:type="dxa"/>
            <w:vAlign w:val="center"/>
          </w:tcPr>
          <w:p>
            <w:pPr>
              <w:pStyle w:val="25"/>
              <w:spacing w:line="360" w:lineRule="auto"/>
              <w:ind w:firstLine="0" w:firstLineChars="0"/>
              <w:jc w:val="center"/>
              <w:rPr>
                <w:rFonts w:hAnsi="宋体"/>
                <w:b/>
              </w:rPr>
            </w:pPr>
            <w:r>
              <w:rPr>
                <w:rFonts w:hint="eastAsia" w:hAnsi="宋体"/>
                <w:b/>
              </w:rPr>
              <w:t>课程学习要点</w:t>
            </w:r>
          </w:p>
        </w:tc>
        <w:tc>
          <w:tcPr>
            <w:tcW w:w="850" w:type="dxa"/>
            <w:vAlign w:val="center"/>
          </w:tcPr>
          <w:p>
            <w:pPr>
              <w:pStyle w:val="25"/>
              <w:spacing w:line="360" w:lineRule="auto"/>
              <w:ind w:firstLine="0" w:firstLineChars="0"/>
              <w:jc w:val="center"/>
              <w:rPr>
                <w:rFonts w:hAnsi="宋体"/>
                <w:b/>
              </w:rPr>
            </w:pPr>
            <w:r>
              <w:rPr>
                <w:rFonts w:hint="eastAsia" w:hAnsi="宋体"/>
                <w:b/>
              </w:rPr>
              <w:t>学</w:t>
            </w:r>
            <w:r>
              <w:rPr>
                <w:rFonts w:hAnsi="宋体"/>
                <w:b/>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46" w:type="dxa"/>
            <w:vAlign w:val="center"/>
          </w:tcPr>
          <w:p>
            <w:pPr>
              <w:pStyle w:val="25"/>
              <w:spacing w:line="360" w:lineRule="auto"/>
              <w:ind w:firstLine="0" w:firstLineChars="0"/>
              <w:jc w:val="center"/>
              <w:rPr>
                <w:rFonts w:hAnsi="宋体"/>
              </w:rPr>
            </w:pPr>
            <w:r>
              <w:rPr>
                <w:rFonts w:hint="eastAsia" w:hAnsi="宋体"/>
              </w:rPr>
              <w:t>1</w:t>
            </w:r>
          </w:p>
        </w:tc>
        <w:tc>
          <w:tcPr>
            <w:tcW w:w="1701" w:type="dxa"/>
            <w:shd w:val="clear" w:color="auto" w:fill="auto"/>
            <w:vAlign w:val="center"/>
          </w:tcPr>
          <w:p>
            <w:pPr>
              <w:pStyle w:val="25"/>
              <w:spacing w:line="360" w:lineRule="auto"/>
              <w:ind w:firstLine="0" w:firstLineChars="0"/>
              <w:jc w:val="center"/>
              <w:rPr>
                <w:rFonts w:hAnsi="宋体"/>
              </w:rPr>
            </w:pPr>
            <w:r>
              <w:rPr>
                <w:rFonts w:hint="eastAsia" w:hAnsi="宋体"/>
              </w:rPr>
              <w:t>OFFICE</w:t>
            </w:r>
            <w:r>
              <w:rPr>
                <w:rFonts w:hAnsi="宋体"/>
              </w:rPr>
              <w:t xml:space="preserve"> </w:t>
            </w:r>
            <w:r>
              <w:rPr>
                <w:rFonts w:hint="eastAsia" w:hAnsi="宋体"/>
              </w:rPr>
              <w:t>2010</w:t>
            </w:r>
          </w:p>
        </w:tc>
        <w:tc>
          <w:tcPr>
            <w:tcW w:w="5670" w:type="dxa"/>
            <w:vAlign w:val="center"/>
          </w:tcPr>
          <w:p>
            <w:pPr>
              <w:pStyle w:val="25"/>
              <w:spacing w:line="360" w:lineRule="auto"/>
              <w:ind w:firstLine="0" w:firstLineChars="0"/>
              <w:jc w:val="left"/>
              <w:rPr>
                <w:rFonts w:hAnsi="宋体"/>
              </w:rPr>
            </w:pPr>
            <w:r>
              <w:rPr>
                <w:rFonts w:hint="eastAsia" w:hAnsi="宋体"/>
              </w:rPr>
              <w:t>学习Office 办公自动化知识，具有文字处理能力，数据处理能力，信息获取、整理、加工能力，方案和数据展示能力等。</w:t>
            </w:r>
          </w:p>
        </w:tc>
        <w:tc>
          <w:tcPr>
            <w:tcW w:w="850" w:type="dxa"/>
            <w:vAlign w:val="center"/>
          </w:tcPr>
          <w:p>
            <w:pPr>
              <w:pStyle w:val="25"/>
              <w:spacing w:line="360" w:lineRule="auto"/>
              <w:ind w:firstLine="0" w:firstLineChars="0"/>
              <w:jc w:val="center"/>
              <w:rPr>
                <w:rFonts w:hAnsi="宋体"/>
              </w:rPr>
            </w:pPr>
            <w:r>
              <w:rPr>
                <w:rFonts w:hint="eastAsia" w:hAnsi="宋体"/>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846" w:type="dxa"/>
            <w:vAlign w:val="center"/>
          </w:tcPr>
          <w:p>
            <w:pPr>
              <w:pStyle w:val="25"/>
              <w:spacing w:line="360" w:lineRule="auto"/>
              <w:ind w:firstLine="0" w:firstLineChars="0"/>
              <w:jc w:val="center"/>
              <w:rPr>
                <w:rFonts w:hAnsi="宋体"/>
              </w:rPr>
            </w:pPr>
            <w:r>
              <w:rPr>
                <w:rFonts w:hint="eastAsia" w:hAnsi="宋体"/>
              </w:rPr>
              <w:t>2</w:t>
            </w:r>
          </w:p>
        </w:tc>
        <w:tc>
          <w:tcPr>
            <w:tcW w:w="1701" w:type="dxa"/>
            <w:shd w:val="clear" w:color="auto" w:fill="auto"/>
            <w:vAlign w:val="center"/>
          </w:tcPr>
          <w:p>
            <w:pPr>
              <w:pStyle w:val="25"/>
              <w:spacing w:line="360" w:lineRule="auto"/>
              <w:ind w:firstLine="0" w:firstLineChars="0"/>
              <w:jc w:val="center"/>
              <w:rPr>
                <w:rFonts w:hAnsi="宋体"/>
              </w:rPr>
            </w:pPr>
            <w:r>
              <w:rPr>
                <w:rFonts w:hint="eastAsia" w:hAnsi="宋体"/>
              </w:rPr>
              <w:t>计算机组装与维护</w:t>
            </w:r>
          </w:p>
        </w:tc>
        <w:tc>
          <w:tcPr>
            <w:tcW w:w="5670" w:type="dxa"/>
            <w:vAlign w:val="center"/>
          </w:tcPr>
          <w:p>
            <w:pPr>
              <w:pStyle w:val="25"/>
              <w:spacing w:line="360" w:lineRule="auto"/>
              <w:ind w:firstLine="0" w:firstLineChars="0"/>
              <w:jc w:val="left"/>
              <w:rPr>
                <w:rFonts w:hAnsi="宋体"/>
              </w:rPr>
            </w:pPr>
            <w:r>
              <w:rPr>
                <w:rFonts w:hint="eastAsia" w:hAnsi="宋体"/>
              </w:rPr>
              <w:t>学习主机（主板、中央处理器、内存条、电源与机箱）、存储设备、输入/输出设备等主要配件的识别、安装和日常维护；重点介绍如何安装、调试硬件以及如何安装操作系统等基本操作；同时还介绍常用工具软件的使用方法和微型计算机常见故障维修。</w:t>
            </w:r>
          </w:p>
        </w:tc>
        <w:tc>
          <w:tcPr>
            <w:tcW w:w="850" w:type="dxa"/>
            <w:vAlign w:val="center"/>
          </w:tcPr>
          <w:p>
            <w:pPr>
              <w:pStyle w:val="25"/>
              <w:spacing w:line="360" w:lineRule="auto"/>
              <w:ind w:firstLine="0" w:firstLineChars="0"/>
              <w:jc w:val="center"/>
              <w:rPr>
                <w:rFonts w:hAnsi="宋体"/>
              </w:rPr>
            </w:pPr>
            <w:r>
              <w:rPr>
                <w:rFonts w:hint="eastAsia" w:hAnsi="宋体"/>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846" w:type="dxa"/>
            <w:shd w:val="clear" w:color="auto" w:fill="FFFFFF"/>
            <w:vAlign w:val="center"/>
          </w:tcPr>
          <w:p>
            <w:pPr>
              <w:pStyle w:val="25"/>
              <w:spacing w:line="360" w:lineRule="auto"/>
              <w:ind w:firstLine="0" w:firstLineChars="0"/>
              <w:jc w:val="center"/>
              <w:rPr>
                <w:rFonts w:hAnsi="宋体"/>
              </w:rPr>
            </w:pPr>
            <w:r>
              <w:rPr>
                <w:rFonts w:hint="eastAsia" w:hAnsi="宋体"/>
              </w:rPr>
              <w:t>3</w:t>
            </w:r>
          </w:p>
        </w:tc>
        <w:tc>
          <w:tcPr>
            <w:tcW w:w="1701" w:type="dxa"/>
            <w:shd w:val="clear" w:color="auto" w:fill="FFFFFF"/>
            <w:vAlign w:val="center"/>
          </w:tcPr>
          <w:p>
            <w:pPr>
              <w:pStyle w:val="25"/>
              <w:spacing w:line="360" w:lineRule="auto"/>
              <w:ind w:firstLine="0" w:firstLineChars="0"/>
              <w:jc w:val="center"/>
              <w:rPr>
                <w:rFonts w:hAnsi="宋体"/>
              </w:rPr>
            </w:pPr>
            <w:r>
              <w:rPr>
                <w:rFonts w:hint="eastAsia" w:hAnsi="宋体"/>
              </w:rPr>
              <w:t>税务会计</w:t>
            </w:r>
          </w:p>
        </w:tc>
        <w:tc>
          <w:tcPr>
            <w:tcW w:w="5670" w:type="dxa"/>
            <w:shd w:val="clear" w:color="auto" w:fill="FFFFFF"/>
            <w:vAlign w:val="center"/>
          </w:tcPr>
          <w:p>
            <w:pPr>
              <w:pStyle w:val="25"/>
              <w:spacing w:line="360" w:lineRule="auto"/>
              <w:ind w:firstLine="0" w:firstLineChars="0"/>
              <w:jc w:val="left"/>
              <w:rPr>
                <w:rFonts w:hAnsi="宋体"/>
              </w:rPr>
            </w:pPr>
            <w:r>
              <w:rPr>
                <w:rFonts w:hint="eastAsia" w:hAnsi="宋体"/>
              </w:rPr>
              <w:t>通过本课程的学习是学生了解税收制度、纳税的会计科目设置和会计处理方法、账簿和会计凭证管理；掌握各税种的税收制度要素内容、征收管理、应纳税额的计算会计处理方法；具备企业税务会计方面的知识，熟练掌握各种税的计算方法和会计处理方法，提高专业技能。</w:t>
            </w:r>
          </w:p>
        </w:tc>
        <w:tc>
          <w:tcPr>
            <w:tcW w:w="850" w:type="dxa"/>
            <w:shd w:val="clear" w:color="auto" w:fill="FFFFFF"/>
            <w:vAlign w:val="center"/>
          </w:tcPr>
          <w:p>
            <w:pPr>
              <w:pStyle w:val="25"/>
              <w:spacing w:line="360" w:lineRule="auto"/>
              <w:ind w:firstLine="0" w:firstLineChars="0"/>
              <w:jc w:val="center"/>
              <w:rPr>
                <w:rFonts w:hAnsi="宋体"/>
              </w:rPr>
            </w:pPr>
            <w:r>
              <w:rPr>
                <w:rFonts w:hint="eastAsia" w:hAnsi="宋体"/>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46" w:type="dxa"/>
            <w:vAlign w:val="center"/>
          </w:tcPr>
          <w:p>
            <w:pPr>
              <w:pStyle w:val="25"/>
              <w:spacing w:line="360" w:lineRule="auto"/>
              <w:ind w:firstLine="0" w:firstLineChars="0"/>
              <w:jc w:val="center"/>
              <w:rPr>
                <w:rFonts w:hAnsi="宋体"/>
              </w:rPr>
            </w:pPr>
            <w:r>
              <w:rPr>
                <w:rFonts w:hint="eastAsia" w:hAnsi="宋体"/>
              </w:rPr>
              <w:t>4</w:t>
            </w:r>
          </w:p>
        </w:tc>
        <w:tc>
          <w:tcPr>
            <w:tcW w:w="1701" w:type="dxa"/>
            <w:shd w:val="clear" w:color="auto" w:fill="auto"/>
            <w:vAlign w:val="center"/>
          </w:tcPr>
          <w:p>
            <w:pPr>
              <w:pStyle w:val="25"/>
              <w:spacing w:line="360" w:lineRule="auto"/>
              <w:ind w:firstLine="0" w:firstLineChars="0"/>
              <w:jc w:val="center"/>
              <w:rPr>
                <w:rFonts w:hAnsi="宋体"/>
              </w:rPr>
            </w:pPr>
            <w:r>
              <w:rPr>
                <w:rFonts w:hint="eastAsia" w:hAnsi="宋体"/>
              </w:rPr>
              <w:t>财务管理</w:t>
            </w:r>
          </w:p>
        </w:tc>
        <w:tc>
          <w:tcPr>
            <w:tcW w:w="5670" w:type="dxa"/>
            <w:vAlign w:val="center"/>
          </w:tcPr>
          <w:p>
            <w:pPr>
              <w:pStyle w:val="25"/>
              <w:spacing w:line="360" w:lineRule="auto"/>
              <w:ind w:firstLine="0" w:firstLineChars="0"/>
              <w:jc w:val="left"/>
              <w:rPr>
                <w:rFonts w:hAnsi="宋体"/>
              </w:rPr>
            </w:pPr>
            <w:r>
              <w:rPr>
                <w:rFonts w:hint="eastAsia" w:hAnsi="宋体"/>
              </w:rPr>
              <w:t>通过本课程的学习，使学生明确财务管理的含义，目标和特点，认识做好财务管理工作对于促进生产经营、提高经济效益的重要意义；理解财务管理的基本内容，懂得各种财务活动的联系以及财务活动同其他经济活动的联系；在系统掌握财务管理的基本理论和基本知识的基础上，熟练掌握财务管理的各种业务方法，具有一定的财务分析和解决财务管理问题的能力，为经营决策服务，并为学习其他课程打下良好的基础。</w:t>
            </w:r>
          </w:p>
        </w:tc>
        <w:tc>
          <w:tcPr>
            <w:tcW w:w="850" w:type="dxa"/>
            <w:vAlign w:val="center"/>
          </w:tcPr>
          <w:p>
            <w:pPr>
              <w:pStyle w:val="25"/>
              <w:spacing w:line="360" w:lineRule="auto"/>
              <w:ind w:firstLine="0" w:firstLineChars="0"/>
              <w:jc w:val="center"/>
              <w:rPr>
                <w:rFonts w:hAnsi="宋体"/>
              </w:rPr>
            </w:pPr>
            <w:r>
              <w:rPr>
                <w:rFonts w:hint="eastAsia" w:hAnsi="宋体"/>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846" w:type="dxa"/>
            <w:vAlign w:val="center"/>
          </w:tcPr>
          <w:p>
            <w:pPr>
              <w:pStyle w:val="25"/>
              <w:spacing w:line="360" w:lineRule="auto"/>
              <w:ind w:firstLine="0" w:firstLineChars="0"/>
              <w:jc w:val="center"/>
              <w:rPr>
                <w:rFonts w:hAnsi="宋体"/>
              </w:rPr>
            </w:pPr>
            <w:r>
              <w:rPr>
                <w:rFonts w:hint="eastAsia" w:hAnsi="宋体"/>
              </w:rPr>
              <w:t>5</w:t>
            </w:r>
          </w:p>
        </w:tc>
        <w:tc>
          <w:tcPr>
            <w:tcW w:w="1701" w:type="dxa"/>
            <w:shd w:val="clear" w:color="auto" w:fill="auto"/>
            <w:vAlign w:val="center"/>
          </w:tcPr>
          <w:p>
            <w:pPr>
              <w:pStyle w:val="25"/>
              <w:spacing w:line="360" w:lineRule="auto"/>
              <w:ind w:firstLine="0" w:firstLineChars="0"/>
              <w:jc w:val="center"/>
              <w:rPr>
                <w:rFonts w:hAnsi="宋体"/>
              </w:rPr>
            </w:pPr>
            <w:r>
              <w:rPr>
                <w:rFonts w:hint="eastAsia" w:hAnsi="宋体"/>
              </w:rPr>
              <w:t>基础会计学</w:t>
            </w:r>
          </w:p>
        </w:tc>
        <w:tc>
          <w:tcPr>
            <w:tcW w:w="5670" w:type="dxa"/>
            <w:vAlign w:val="center"/>
          </w:tcPr>
          <w:p>
            <w:pPr>
              <w:pStyle w:val="25"/>
              <w:spacing w:line="360" w:lineRule="auto"/>
              <w:ind w:firstLine="0" w:firstLineChars="0"/>
              <w:jc w:val="left"/>
              <w:rPr>
                <w:rFonts w:hAnsi="宋体"/>
              </w:rPr>
            </w:pPr>
            <w:r>
              <w:rPr>
                <w:rFonts w:hint="eastAsia" w:hAnsi="宋体"/>
              </w:rPr>
              <w:t>通过本课程的学习，使学生能够比较全面地了解、掌握会计的基本原理、基本方法和基本技能，并使学生具备进行会计核算的初步能力，为后续专业课程的学习打下基础。</w:t>
            </w:r>
          </w:p>
        </w:tc>
        <w:tc>
          <w:tcPr>
            <w:tcW w:w="850" w:type="dxa"/>
            <w:vAlign w:val="center"/>
          </w:tcPr>
          <w:p>
            <w:pPr>
              <w:pStyle w:val="25"/>
              <w:spacing w:line="360" w:lineRule="auto"/>
              <w:ind w:firstLine="0" w:firstLineChars="0"/>
              <w:jc w:val="center"/>
              <w:rPr>
                <w:rFonts w:hAnsi="宋体"/>
              </w:rPr>
            </w:pPr>
            <w:r>
              <w:rPr>
                <w:rFonts w:hint="eastAsia" w:hAnsi="宋体"/>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846" w:type="dxa"/>
            <w:vAlign w:val="center"/>
          </w:tcPr>
          <w:p>
            <w:pPr>
              <w:pStyle w:val="25"/>
              <w:spacing w:line="360" w:lineRule="auto"/>
              <w:ind w:firstLine="0" w:firstLineChars="0"/>
              <w:jc w:val="center"/>
              <w:rPr>
                <w:rFonts w:hAnsi="宋体"/>
              </w:rPr>
            </w:pPr>
            <w:r>
              <w:rPr>
                <w:rFonts w:hint="eastAsia" w:hAnsi="宋体"/>
              </w:rPr>
              <w:t>6</w:t>
            </w:r>
          </w:p>
        </w:tc>
        <w:tc>
          <w:tcPr>
            <w:tcW w:w="1701" w:type="dxa"/>
            <w:shd w:val="clear" w:color="auto" w:fill="auto"/>
            <w:vAlign w:val="center"/>
          </w:tcPr>
          <w:p>
            <w:pPr>
              <w:pStyle w:val="25"/>
              <w:spacing w:line="360" w:lineRule="auto"/>
              <w:ind w:firstLine="0" w:firstLineChars="0"/>
              <w:jc w:val="center"/>
              <w:rPr>
                <w:rFonts w:hAnsi="宋体"/>
              </w:rPr>
            </w:pPr>
            <w:r>
              <w:rPr>
                <w:rFonts w:hint="eastAsia" w:hAnsi="宋体"/>
              </w:rPr>
              <w:t>管理学原理</w:t>
            </w:r>
          </w:p>
        </w:tc>
        <w:tc>
          <w:tcPr>
            <w:tcW w:w="5670" w:type="dxa"/>
            <w:vAlign w:val="center"/>
          </w:tcPr>
          <w:p>
            <w:pPr>
              <w:pStyle w:val="25"/>
              <w:spacing w:line="360" w:lineRule="auto"/>
              <w:ind w:firstLine="0" w:firstLineChars="0"/>
              <w:jc w:val="left"/>
              <w:rPr>
                <w:rFonts w:hAnsi="宋体"/>
              </w:rPr>
            </w:pPr>
            <w:r>
              <w:rPr>
                <w:rFonts w:hint="eastAsia" w:hAnsi="宋体"/>
              </w:rPr>
              <w:t>课程重点介绍管理学的概念、发展、基本原理，方法，及管理的基本职能（计划职能、组织职能、领导职能、控制职能）</w:t>
            </w:r>
          </w:p>
        </w:tc>
        <w:tc>
          <w:tcPr>
            <w:tcW w:w="850" w:type="dxa"/>
            <w:vAlign w:val="center"/>
          </w:tcPr>
          <w:p>
            <w:pPr>
              <w:pStyle w:val="25"/>
              <w:spacing w:line="360" w:lineRule="auto"/>
              <w:ind w:firstLine="0" w:firstLineChars="0"/>
              <w:jc w:val="center"/>
              <w:rPr>
                <w:rFonts w:hAnsi="宋体"/>
              </w:rPr>
            </w:pPr>
            <w:r>
              <w:rPr>
                <w:rFonts w:hint="eastAsia" w:hAnsi="宋体"/>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46" w:type="dxa"/>
            <w:vAlign w:val="center"/>
          </w:tcPr>
          <w:p>
            <w:pPr>
              <w:pStyle w:val="25"/>
              <w:spacing w:line="360" w:lineRule="auto"/>
              <w:ind w:firstLine="0" w:firstLineChars="0"/>
              <w:jc w:val="center"/>
              <w:rPr>
                <w:rFonts w:hAnsi="宋体"/>
              </w:rPr>
            </w:pPr>
            <w:r>
              <w:rPr>
                <w:rFonts w:hint="eastAsia" w:hAnsi="宋体"/>
              </w:rPr>
              <w:t>7</w:t>
            </w:r>
          </w:p>
        </w:tc>
        <w:tc>
          <w:tcPr>
            <w:tcW w:w="1701" w:type="dxa"/>
            <w:shd w:val="clear" w:color="auto" w:fill="auto"/>
            <w:vAlign w:val="center"/>
          </w:tcPr>
          <w:p>
            <w:pPr>
              <w:pStyle w:val="25"/>
              <w:spacing w:line="360" w:lineRule="auto"/>
              <w:ind w:firstLine="0" w:firstLineChars="0"/>
              <w:jc w:val="center"/>
              <w:rPr>
                <w:rFonts w:hAnsi="宋体"/>
              </w:rPr>
            </w:pPr>
            <w:r>
              <w:rPr>
                <w:rFonts w:hint="eastAsia" w:hAnsi="宋体"/>
              </w:rPr>
              <w:t>财税统计知识</w:t>
            </w:r>
          </w:p>
        </w:tc>
        <w:tc>
          <w:tcPr>
            <w:tcW w:w="5670" w:type="dxa"/>
            <w:vAlign w:val="center"/>
          </w:tcPr>
          <w:p>
            <w:pPr>
              <w:pStyle w:val="25"/>
              <w:spacing w:line="360" w:lineRule="auto"/>
              <w:ind w:firstLine="0" w:firstLineChars="0"/>
              <w:jc w:val="left"/>
              <w:rPr>
                <w:rFonts w:hAnsi="宋体"/>
              </w:rPr>
            </w:pPr>
            <w:r>
              <w:rPr>
                <w:rFonts w:hint="eastAsia" w:hAnsi="宋体"/>
              </w:rPr>
              <w:t>使学生掌握中初级会计专门人才必备的统计基本理论、基本知识和统计调查、统计资料加工整理与量化分析的基本方法和基本技能；提高学生认识社会、分析和解决问题的能力；培养学生的综合职业能力。</w:t>
            </w:r>
          </w:p>
        </w:tc>
        <w:tc>
          <w:tcPr>
            <w:tcW w:w="850" w:type="dxa"/>
            <w:vAlign w:val="center"/>
          </w:tcPr>
          <w:p>
            <w:pPr>
              <w:pStyle w:val="25"/>
              <w:spacing w:line="360" w:lineRule="auto"/>
              <w:ind w:firstLine="0" w:firstLineChars="0"/>
              <w:jc w:val="center"/>
              <w:rPr>
                <w:rFonts w:hAnsi="宋体"/>
              </w:rPr>
            </w:pPr>
            <w:r>
              <w:rPr>
                <w:rFonts w:hint="eastAsia" w:hAnsi="宋体"/>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846" w:type="dxa"/>
            <w:vAlign w:val="center"/>
          </w:tcPr>
          <w:p>
            <w:pPr>
              <w:pStyle w:val="25"/>
              <w:spacing w:line="360" w:lineRule="auto"/>
              <w:ind w:firstLine="0" w:firstLineChars="0"/>
              <w:jc w:val="center"/>
              <w:rPr>
                <w:rFonts w:hAnsi="宋体"/>
              </w:rPr>
            </w:pPr>
            <w:r>
              <w:rPr>
                <w:rFonts w:hint="eastAsia" w:hAnsi="宋体"/>
              </w:rPr>
              <w:t>8</w:t>
            </w:r>
          </w:p>
        </w:tc>
        <w:tc>
          <w:tcPr>
            <w:tcW w:w="1701" w:type="dxa"/>
            <w:shd w:val="clear" w:color="auto" w:fill="auto"/>
            <w:vAlign w:val="center"/>
          </w:tcPr>
          <w:p>
            <w:pPr>
              <w:pStyle w:val="25"/>
              <w:spacing w:line="360" w:lineRule="auto"/>
              <w:ind w:firstLine="0" w:firstLineChars="0"/>
              <w:jc w:val="center"/>
              <w:rPr>
                <w:rFonts w:hAnsi="宋体"/>
              </w:rPr>
            </w:pPr>
            <w:r>
              <w:rPr>
                <w:rFonts w:hint="eastAsia" w:hAnsi="宋体"/>
              </w:rPr>
              <w:t>审计基础</w:t>
            </w:r>
          </w:p>
        </w:tc>
        <w:tc>
          <w:tcPr>
            <w:tcW w:w="5670" w:type="dxa"/>
            <w:vAlign w:val="center"/>
          </w:tcPr>
          <w:p>
            <w:pPr>
              <w:pStyle w:val="25"/>
              <w:spacing w:line="360" w:lineRule="auto"/>
              <w:ind w:firstLine="0" w:firstLineChars="0"/>
              <w:jc w:val="left"/>
              <w:rPr>
                <w:rFonts w:hAnsi="宋体"/>
              </w:rPr>
            </w:pPr>
            <w:r>
              <w:rPr>
                <w:rFonts w:hint="eastAsia" w:hAnsi="宋体"/>
              </w:rPr>
              <w:t>审计学基本理论、审计实务循环两大部分。在介绍国家审计、内部审计和注册会计师审计三大监督体系的基础上，以财务报表审计报告的形成过程为主线，先后介绍了财务报表审计风险的了解过程、评估过程和应对过程。在审计实务循环部分，本书选择介绍了销售与收款、采购与付款、生产和存货、货币资金等典型业务循环的审计要点。</w:t>
            </w:r>
          </w:p>
        </w:tc>
        <w:tc>
          <w:tcPr>
            <w:tcW w:w="850" w:type="dxa"/>
            <w:vAlign w:val="center"/>
          </w:tcPr>
          <w:p>
            <w:pPr>
              <w:pStyle w:val="25"/>
              <w:spacing w:line="360" w:lineRule="auto"/>
              <w:ind w:firstLine="0" w:firstLineChars="0"/>
              <w:jc w:val="center"/>
              <w:rPr>
                <w:rFonts w:hAnsi="宋体"/>
              </w:rPr>
            </w:pPr>
            <w:r>
              <w:rPr>
                <w:rFonts w:hint="eastAsia" w:hAnsi="宋体"/>
              </w:rPr>
              <w:t>126</w:t>
            </w: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w:t>
      </w:r>
      <w:r>
        <w:rPr>
          <w:rFonts w:hint="eastAsia" w:ascii="仿宋_GB2312" w:eastAsia="仿宋_GB2312"/>
          <w:sz w:val="24"/>
          <w:szCs w:val="30"/>
        </w:rPr>
        <w:t>2</w:t>
      </w:r>
      <w:r>
        <w:rPr>
          <w:rFonts w:ascii="仿宋_GB2312" w:eastAsia="仿宋_GB2312"/>
          <w:sz w:val="24"/>
          <w:szCs w:val="30"/>
        </w:rPr>
        <w:t>）专</w:t>
      </w:r>
      <w:r>
        <w:rPr>
          <w:rFonts w:hint="eastAsia" w:ascii="仿宋_GB2312" w:eastAsia="仿宋_GB2312"/>
          <w:sz w:val="24"/>
          <w:szCs w:val="30"/>
        </w:rPr>
        <w:t>业（技能）</w:t>
      </w:r>
      <w:r>
        <w:rPr>
          <w:rFonts w:ascii="仿宋_GB2312" w:eastAsia="仿宋_GB2312"/>
          <w:sz w:val="24"/>
          <w:szCs w:val="30"/>
        </w:rPr>
        <w:t>方</w:t>
      </w:r>
      <w:r>
        <w:rPr>
          <w:rFonts w:hint="eastAsia" w:ascii="仿宋_GB2312" w:eastAsia="仿宋_GB2312"/>
          <w:sz w:val="24"/>
          <w:szCs w:val="30"/>
        </w:rPr>
        <w:t>向</w:t>
      </w:r>
      <w:r>
        <w:rPr>
          <w:rFonts w:ascii="仿宋_GB2312" w:eastAsia="仿宋_GB2312"/>
          <w:sz w:val="24"/>
          <w:szCs w:val="30"/>
        </w:rPr>
        <w:t>课</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①财务</w:t>
      </w:r>
      <w:r>
        <w:rPr>
          <w:rFonts w:ascii="仿宋_GB2312" w:eastAsia="仿宋_GB2312"/>
          <w:sz w:val="24"/>
          <w:szCs w:val="30"/>
        </w:rPr>
        <w:t>管理</w:t>
      </w:r>
      <w:r>
        <w:rPr>
          <w:rFonts w:hint="eastAsia" w:ascii="仿宋_GB2312" w:eastAsia="仿宋_GB2312"/>
          <w:sz w:val="24"/>
          <w:szCs w:val="30"/>
        </w:rPr>
        <w:t>方向</w:t>
      </w:r>
    </w:p>
    <w:tbl>
      <w:tblPr>
        <w:tblStyle w:val="11"/>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740"/>
        <w:gridCol w:w="5304"/>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889"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序号</w:t>
            </w:r>
          </w:p>
        </w:tc>
        <w:tc>
          <w:tcPr>
            <w:tcW w:w="1740"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课程名称</w:t>
            </w:r>
          </w:p>
        </w:tc>
        <w:tc>
          <w:tcPr>
            <w:tcW w:w="5304"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主要教学内容和要求</w:t>
            </w:r>
          </w:p>
        </w:tc>
        <w:tc>
          <w:tcPr>
            <w:tcW w:w="849"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9"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1</w:t>
            </w:r>
          </w:p>
        </w:tc>
        <w:tc>
          <w:tcPr>
            <w:tcW w:w="1740" w:type="dxa"/>
            <w:shd w:val="clear" w:color="auto" w:fill="auto"/>
            <w:vAlign w:val="center"/>
          </w:tcPr>
          <w:p>
            <w:pPr>
              <w:pStyle w:val="25"/>
              <w:spacing w:line="360" w:lineRule="auto"/>
              <w:ind w:firstLine="0" w:firstLineChars="0"/>
              <w:jc w:val="center"/>
              <w:rPr>
                <w:rFonts w:hAnsi="宋体"/>
              </w:rPr>
            </w:pPr>
            <w:r>
              <w:rPr>
                <w:rFonts w:hint="eastAsia" w:hAnsi="宋体"/>
              </w:rPr>
              <w:t>ERP原理及应用</w:t>
            </w:r>
          </w:p>
        </w:tc>
        <w:tc>
          <w:tcPr>
            <w:tcW w:w="5304" w:type="dxa"/>
            <w:shd w:val="clear" w:color="auto" w:fill="auto"/>
            <w:vAlign w:val="center"/>
          </w:tcPr>
          <w:p>
            <w:pPr>
              <w:pStyle w:val="25"/>
              <w:spacing w:line="360" w:lineRule="auto"/>
              <w:ind w:firstLine="0" w:firstLineChars="0"/>
              <w:jc w:val="left"/>
              <w:rPr>
                <w:rFonts w:hAnsi="宋体"/>
              </w:rPr>
            </w:pPr>
            <w:r>
              <w:rPr>
                <w:rFonts w:hint="eastAsia" w:hAnsi="宋体"/>
              </w:rPr>
              <w:t>该课程主要做为从事企业管理、信息管理、企业信息化等工作的管理人员的培训教材。</w:t>
            </w:r>
          </w:p>
        </w:tc>
        <w:tc>
          <w:tcPr>
            <w:tcW w:w="849" w:type="dxa"/>
            <w:shd w:val="clear" w:color="auto" w:fill="auto"/>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2</w:t>
            </w:r>
          </w:p>
        </w:tc>
        <w:tc>
          <w:tcPr>
            <w:tcW w:w="1740" w:type="dxa"/>
            <w:shd w:val="clear" w:color="auto" w:fill="auto"/>
            <w:vAlign w:val="center"/>
          </w:tcPr>
          <w:p>
            <w:pPr>
              <w:pStyle w:val="25"/>
              <w:spacing w:line="360" w:lineRule="auto"/>
              <w:ind w:firstLine="0" w:firstLineChars="0"/>
              <w:jc w:val="center"/>
              <w:rPr>
                <w:rFonts w:hAnsi="宋体"/>
              </w:rPr>
            </w:pPr>
            <w:r>
              <w:rPr>
                <w:rFonts w:hint="eastAsia" w:hAnsi="宋体"/>
              </w:rPr>
              <w:t>会计实务</w:t>
            </w:r>
          </w:p>
        </w:tc>
        <w:tc>
          <w:tcPr>
            <w:tcW w:w="5304" w:type="dxa"/>
            <w:shd w:val="clear" w:color="auto" w:fill="auto"/>
            <w:vAlign w:val="center"/>
          </w:tcPr>
          <w:p>
            <w:pPr>
              <w:pStyle w:val="25"/>
              <w:spacing w:line="360" w:lineRule="auto"/>
              <w:ind w:firstLine="0" w:firstLineChars="0"/>
              <w:jc w:val="left"/>
              <w:rPr>
                <w:rFonts w:hAnsi="宋体"/>
              </w:rPr>
            </w:pPr>
            <w:r>
              <w:rPr>
                <w:rFonts w:hint="eastAsia" w:hAnsi="宋体"/>
              </w:rPr>
              <w:t>通过本课程的学习，使学员可以系统地掌握了会计等式、借贷记账法，具备了实际会计工作所必需的基本会计知识、基本会计技能后，基于实际会计工作过程为学生搭建起会计整体工作体系框架，培养学生会计职业岗位技能的一门职业必修课程。本课程面向会计工作的全过程和各岗位，通过本课程的学习，提高学生的会计职业判断能力、会计岗位操作技能以及全盘账务处理能力。</w:t>
            </w:r>
          </w:p>
        </w:tc>
        <w:tc>
          <w:tcPr>
            <w:tcW w:w="849" w:type="dxa"/>
            <w:shd w:val="clear" w:color="auto" w:fill="auto"/>
            <w:vAlign w:val="center"/>
          </w:tcPr>
          <w:p>
            <w:pPr>
              <w:spacing w:line="360" w:lineRule="auto"/>
              <w:jc w:val="center"/>
              <w:rPr>
                <w:rFonts w:ascii="仿宋" w:hAnsi="仿宋" w:eastAsia="仿宋"/>
                <w:sz w:val="24"/>
              </w:rPr>
            </w:pPr>
            <w:r>
              <w:rPr>
                <w:rFonts w:hint="eastAsia" w:ascii="仿宋" w:hAnsi="仿宋" w:eastAsia="仿宋"/>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3</w:t>
            </w:r>
          </w:p>
        </w:tc>
        <w:tc>
          <w:tcPr>
            <w:tcW w:w="1740" w:type="dxa"/>
            <w:shd w:val="clear" w:color="auto" w:fill="auto"/>
            <w:vAlign w:val="center"/>
          </w:tcPr>
          <w:p>
            <w:pPr>
              <w:pStyle w:val="25"/>
              <w:spacing w:line="360" w:lineRule="auto"/>
              <w:ind w:firstLine="0" w:firstLineChars="0"/>
              <w:jc w:val="center"/>
              <w:rPr>
                <w:rFonts w:hAnsi="宋体"/>
              </w:rPr>
            </w:pPr>
            <w:r>
              <w:rPr>
                <w:rFonts w:hint="eastAsia" w:hAnsi="宋体"/>
              </w:rPr>
              <w:t>财务报表分析</w:t>
            </w:r>
          </w:p>
        </w:tc>
        <w:tc>
          <w:tcPr>
            <w:tcW w:w="5304" w:type="dxa"/>
            <w:shd w:val="clear" w:color="auto" w:fill="auto"/>
            <w:vAlign w:val="center"/>
          </w:tcPr>
          <w:p>
            <w:pPr>
              <w:pStyle w:val="25"/>
              <w:spacing w:line="360" w:lineRule="auto"/>
              <w:ind w:firstLine="0" w:firstLineChars="0"/>
              <w:jc w:val="left"/>
              <w:rPr>
                <w:rFonts w:hAnsi="宋体"/>
              </w:rPr>
            </w:pPr>
            <w:r>
              <w:rPr>
                <w:rFonts w:hint="eastAsia" w:hAnsi="宋体"/>
              </w:rPr>
              <w:t>学习本课程的目的是在学生掌握的会计报表编制方法的基础上，进一步加深对财务报表的理解，掌握运用财务报表分析和评价企业经营成果和财务状况的方法，基本具备通过财务报表评价过去和预测未来的能力，以及帮助利益关系集团改善决策的能力。</w:t>
            </w:r>
          </w:p>
        </w:tc>
        <w:tc>
          <w:tcPr>
            <w:tcW w:w="849" w:type="dxa"/>
            <w:shd w:val="clear" w:color="auto" w:fill="auto"/>
            <w:vAlign w:val="center"/>
          </w:tcPr>
          <w:p>
            <w:pPr>
              <w:spacing w:line="360" w:lineRule="auto"/>
              <w:jc w:val="center"/>
              <w:rPr>
                <w:rFonts w:ascii="仿宋" w:hAnsi="仿宋" w:eastAsia="仿宋"/>
                <w:sz w:val="24"/>
              </w:rPr>
            </w:pPr>
            <w:r>
              <w:rPr>
                <w:rFonts w:hint="eastAsia" w:ascii="仿宋" w:hAnsi="仿宋" w:eastAsia="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4</w:t>
            </w:r>
          </w:p>
        </w:tc>
        <w:tc>
          <w:tcPr>
            <w:tcW w:w="1740" w:type="dxa"/>
            <w:shd w:val="clear" w:color="auto" w:fill="auto"/>
            <w:vAlign w:val="center"/>
          </w:tcPr>
          <w:p>
            <w:pPr>
              <w:pStyle w:val="25"/>
              <w:spacing w:line="360" w:lineRule="auto"/>
              <w:ind w:firstLine="0" w:firstLineChars="0"/>
              <w:jc w:val="center"/>
              <w:rPr>
                <w:rFonts w:hAnsi="宋体"/>
              </w:rPr>
            </w:pPr>
            <w:r>
              <w:rPr>
                <w:rFonts w:hint="eastAsia" w:hAnsi="宋体"/>
              </w:rPr>
              <w:t>财经应用文写作</w:t>
            </w:r>
          </w:p>
        </w:tc>
        <w:tc>
          <w:tcPr>
            <w:tcW w:w="5304" w:type="dxa"/>
            <w:shd w:val="clear" w:color="auto" w:fill="auto"/>
            <w:vAlign w:val="center"/>
          </w:tcPr>
          <w:p>
            <w:pPr>
              <w:pStyle w:val="25"/>
              <w:spacing w:line="360" w:lineRule="auto"/>
              <w:ind w:firstLine="0" w:firstLineChars="0"/>
              <w:jc w:val="left"/>
              <w:rPr>
                <w:rFonts w:hAnsi="宋体"/>
              </w:rPr>
            </w:pPr>
            <w:r>
              <w:rPr>
                <w:rFonts w:hint="eastAsia" w:hAnsi="宋体"/>
              </w:rPr>
              <w:t>是经济工作中处理公务、沟通信息、解决问题、科学管理不可缺少的重要工具。</w:t>
            </w:r>
          </w:p>
          <w:p>
            <w:pPr>
              <w:pStyle w:val="25"/>
              <w:spacing w:line="360" w:lineRule="auto"/>
              <w:ind w:firstLine="0" w:firstLineChars="0"/>
              <w:jc w:val="left"/>
              <w:rPr>
                <w:rFonts w:hAnsi="宋体"/>
              </w:rPr>
            </w:pPr>
            <w:r>
              <w:rPr>
                <w:rFonts w:hint="eastAsia" w:hAnsi="宋体"/>
              </w:rPr>
              <w:t>开课目的在于提高学生的应用写作能力是帮助学生了解和掌握与经济管理有关的基础写作理论与常用问题知识，掌握常用公文写作技能。</w:t>
            </w:r>
          </w:p>
        </w:tc>
        <w:tc>
          <w:tcPr>
            <w:tcW w:w="849" w:type="dxa"/>
            <w:shd w:val="clear" w:color="auto" w:fill="auto"/>
            <w:vAlign w:val="center"/>
          </w:tcPr>
          <w:p>
            <w:pPr>
              <w:spacing w:line="360" w:lineRule="auto"/>
              <w:jc w:val="center"/>
              <w:rPr>
                <w:rFonts w:ascii="仿宋" w:hAnsi="仿宋" w:eastAsia="仿宋"/>
                <w:sz w:val="24"/>
              </w:rPr>
            </w:pPr>
            <w:r>
              <w:rPr>
                <w:rFonts w:hint="eastAsia" w:ascii="仿宋" w:hAnsi="仿宋" w:eastAsia="仿宋"/>
                <w:sz w:val="24"/>
              </w:rPr>
              <w:t>36</w:t>
            </w:r>
          </w:p>
        </w:tc>
      </w:tr>
    </w:tbl>
    <w:p>
      <w:pPr>
        <w:overflowPunct w:val="0"/>
        <w:spacing w:line="360" w:lineRule="auto"/>
        <w:ind w:firstLine="580" w:firstLineChars="242"/>
        <w:rPr>
          <w:rFonts w:ascii="仿宋_GB2312" w:eastAsia="仿宋_GB2312"/>
          <w:sz w:val="24"/>
          <w:szCs w:val="30"/>
        </w:rPr>
      </w:pPr>
      <w:r>
        <w:rPr>
          <w:rFonts w:hint="eastAsia" w:ascii="仿宋" w:hAnsi="仿宋" w:eastAsia="仿宋"/>
          <w:sz w:val="24"/>
          <w:szCs w:val="30"/>
        </w:rPr>
        <w:t>②</w:t>
      </w:r>
      <w:r>
        <w:rPr>
          <w:rFonts w:hint="eastAsia" w:ascii="仿宋_GB2312" w:eastAsia="仿宋_GB2312"/>
          <w:sz w:val="24"/>
          <w:szCs w:val="30"/>
        </w:rPr>
        <w:t>电商营</w:t>
      </w:r>
      <w:r>
        <w:rPr>
          <w:rFonts w:ascii="仿宋_GB2312" w:eastAsia="仿宋_GB2312"/>
          <w:sz w:val="24"/>
          <w:szCs w:val="30"/>
        </w:rPr>
        <w:t>销</w:t>
      </w:r>
      <w:r>
        <w:rPr>
          <w:rFonts w:hint="eastAsia" w:ascii="仿宋_GB2312" w:eastAsia="仿宋_GB2312"/>
          <w:sz w:val="24"/>
          <w:szCs w:val="30"/>
        </w:rPr>
        <w:t>方向</w:t>
      </w:r>
    </w:p>
    <w:tbl>
      <w:tblPr>
        <w:tblStyle w:val="11"/>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740"/>
        <w:gridCol w:w="5304"/>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889"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序号</w:t>
            </w:r>
          </w:p>
        </w:tc>
        <w:tc>
          <w:tcPr>
            <w:tcW w:w="1740"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课程名称</w:t>
            </w:r>
          </w:p>
        </w:tc>
        <w:tc>
          <w:tcPr>
            <w:tcW w:w="5304"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主要教学内容和要求</w:t>
            </w:r>
          </w:p>
        </w:tc>
        <w:tc>
          <w:tcPr>
            <w:tcW w:w="849" w:type="dxa"/>
            <w:shd w:val="clear" w:color="auto" w:fill="auto"/>
            <w:vAlign w:val="center"/>
          </w:tcPr>
          <w:p>
            <w:pPr>
              <w:adjustRightInd w:val="0"/>
              <w:snapToGrid w:val="0"/>
              <w:jc w:val="center"/>
              <w:rPr>
                <w:rFonts w:ascii="仿宋" w:hAnsi="仿宋" w:eastAsia="仿宋"/>
                <w:b/>
                <w:bCs/>
                <w:color w:val="000000"/>
                <w:sz w:val="24"/>
              </w:rPr>
            </w:pPr>
            <w:r>
              <w:rPr>
                <w:rFonts w:hint="eastAsia" w:ascii="仿宋" w:hAnsi="仿宋" w:eastAsia="仿宋"/>
                <w:b/>
                <w:bCs/>
                <w:color w:val="000000"/>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9"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1</w:t>
            </w:r>
          </w:p>
        </w:tc>
        <w:tc>
          <w:tcPr>
            <w:tcW w:w="1740" w:type="dxa"/>
            <w:shd w:val="clear" w:color="auto" w:fill="auto"/>
            <w:vAlign w:val="center"/>
          </w:tcPr>
          <w:p>
            <w:pPr>
              <w:pStyle w:val="25"/>
              <w:spacing w:line="360" w:lineRule="auto"/>
              <w:ind w:firstLine="0" w:firstLineChars="0"/>
              <w:jc w:val="center"/>
              <w:rPr>
                <w:rFonts w:hAnsi="宋体"/>
              </w:rPr>
            </w:pPr>
            <w:r>
              <w:rPr>
                <w:rFonts w:hint="eastAsia" w:hAnsi="宋体"/>
              </w:rPr>
              <w:t>SMM社会化媒体营销</w:t>
            </w:r>
          </w:p>
        </w:tc>
        <w:tc>
          <w:tcPr>
            <w:tcW w:w="5304" w:type="dxa"/>
            <w:shd w:val="clear" w:color="auto" w:fill="auto"/>
            <w:vAlign w:val="center"/>
          </w:tcPr>
          <w:p>
            <w:pPr>
              <w:pStyle w:val="25"/>
              <w:spacing w:line="360" w:lineRule="auto"/>
              <w:ind w:firstLine="0" w:firstLineChars="0"/>
              <w:jc w:val="left"/>
              <w:rPr>
                <w:rFonts w:hAnsi="宋体"/>
              </w:rPr>
            </w:pPr>
            <w:r>
              <w:rPr>
                <w:rFonts w:hint="eastAsia" w:hAnsi="宋体"/>
              </w:rPr>
              <w:t>课程通过大量成功案例详细展示3C数码、食品、文化传媒、家具电器、美妆服饰、本地商家、民营医院、家居百货等多个行业如何进行微营销。</w:t>
            </w:r>
          </w:p>
        </w:tc>
        <w:tc>
          <w:tcPr>
            <w:tcW w:w="849" w:type="dxa"/>
            <w:shd w:val="clear" w:color="auto" w:fill="auto"/>
            <w:vAlign w:val="center"/>
          </w:tcPr>
          <w:p>
            <w:pPr>
              <w:spacing w:line="360" w:lineRule="auto"/>
              <w:jc w:val="center"/>
              <w:rPr>
                <w:rFonts w:ascii="仿宋" w:hAnsi="仿宋" w:eastAsia="仿宋"/>
                <w:sz w:val="24"/>
              </w:rPr>
            </w:pPr>
            <w:r>
              <w:rPr>
                <w:rFonts w:hint="eastAsia" w:ascii="仿宋" w:hAnsi="仿宋" w:eastAsia="仿宋"/>
                <w:sz w:val="24"/>
              </w:rPr>
              <w:t>5</w:t>
            </w:r>
            <w:r>
              <w:rPr>
                <w:rFonts w:ascii="仿宋" w:hAnsi="仿宋" w:eastAsia="仿宋"/>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9"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2</w:t>
            </w:r>
          </w:p>
        </w:tc>
        <w:tc>
          <w:tcPr>
            <w:tcW w:w="1740" w:type="dxa"/>
            <w:shd w:val="clear" w:color="auto" w:fill="auto"/>
            <w:vAlign w:val="center"/>
          </w:tcPr>
          <w:p>
            <w:pPr>
              <w:pStyle w:val="25"/>
              <w:spacing w:line="360" w:lineRule="auto"/>
              <w:ind w:firstLine="0" w:firstLineChars="0"/>
              <w:jc w:val="center"/>
              <w:rPr>
                <w:rFonts w:hAnsi="宋体"/>
              </w:rPr>
            </w:pPr>
            <w:r>
              <w:rPr>
                <w:rFonts w:hint="eastAsia" w:hAnsi="宋体"/>
              </w:rPr>
              <w:t>市场营销</w:t>
            </w:r>
          </w:p>
        </w:tc>
        <w:tc>
          <w:tcPr>
            <w:tcW w:w="5304" w:type="dxa"/>
            <w:shd w:val="clear" w:color="auto" w:fill="auto"/>
            <w:vAlign w:val="center"/>
          </w:tcPr>
          <w:p>
            <w:pPr>
              <w:pStyle w:val="25"/>
              <w:spacing w:line="360" w:lineRule="auto"/>
              <w:ind w:firstLine="0" w:firstLineChars="0"/>
              <w:jc w:val="left"/>
              <w:rPr>
                <w:rFonts w:hAnsi="宋体"/>
              </w:rPr>
            </w:pPr>
            <w:r>
              <w:rPr>
                <w:rFonts w:hint="eastAsia" w:hAnsi="宋体"/>
              </w:rPr>
              <w:t>通过本课程的学习，使学员理论和实践相结合，注重针对性、可操作性，在强调准确阐明营销基本理论的基础上，突出学科新发展。</w:t>
            </w:r>
          </w:p>
        </w:tc>
        <w:tc>
          <w:tcPr>
            <w:tcW w:w="849" w:type="dxa"/>
            <w:shd w:val="clear" w:color="auto" w:fill="auto"/>
            <w:vAlign w:val="center"/>
          </w:tcPr>
          <w:p>
            <w:pPr>
              <w:spacing w:line="360" w:lineRule="auto"/>
              <w:jc w:val="center"/>
              <w:rPr>
                <w:rFonts w:ascii="仿宋" w:hAnsi="仿宋" w:eastAsia="仿宋"/>
                <w:sz w:val="24"/>
              </w:rPr>
            </w:pPr>
            <w:r>
              <w:rPr>
                <w:rFonts w:ascii="仿宋" w:hAnsi="仿宋" w:eastAsia="仿宋"/>
                <w:sz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3</w:t>
            </w:r>
          </w:p>
        </w:tc>
        <w:tc>
          <w:tcPr>
            <w:tcW w:w="1740" w:type="dxa"/>
            <w:shd w:val="clear" w:color="auto" w:fill="auto"/>
            <w:vAlign w:val="center"/>
          </w:tcPr>
          <w:p>
            <w:pPr>
              <w:pStyle w:val="25"/>
              <w:spacing w:line="360" w:lineRule="auto"/>
              <w:ind w:firstLine="0" w:firstLineChars="0"/>
              <w:jc w:val="center"/>
              <w:rPr>
                <w:rFonts w:hAnsi="宋体"/>
              </w:rPr>
            </w:pPr>
            <w:r>
              <w:rPr>
                <w:rFonts w:hint="eastAsia" w:hAnsi="宋体"/>
              </w:rPr>
              <w:t>跨境电商速卖通运营与管理</w:t>
            </w:r>
          </w:p>
        </w:tc>
        <w:tc>
          <w:tcPr>
            <w:tcW w:w="5304" w:type="dxa"/>
            <w:shd w:val="clear" w:color="auto" w:fill="auto"/>
            <w:vAlign w:val="center"/>
          </w:tcPr>
          <w:p>
            <w:pPr>
              <w:pStyle w:val="25"/>
              <w:spacing w:line="360" w:lineRule="auto"/>
              <w:ind w:firstLine="0" w:firstLineChars="0"/>
              <w:jc w:val="left"/>
              <w:rPr>
                <w:rFonts w:hAnsi="宋体"/>
              </w:rPr>
            </w:pPr>
            <w:r>
              <w:rPr>
                <w:rFonts w:hint="eastAsia" w:hAnsi="宋体"/>
              </w:rPr>
              <w:t>通过学习本课程，学生将掌握跨境电子商务的基本概念，掌握跨境电子商务物流、支付、供应链、外贸综合服务、协同商务等，学会一些跨境零售的基本操作，了解有关政策，法律问题及发展趋势。</w:t>
            </w:r>
          </w:p>
        </w:tc>
        <w:tc>
          <w:tcPr>
            <w:tcW w:w="849" w:type="dxa"/>
            <w:shd w:val="clear" w:color="auto" w:fill="auto"/>
            <w:vAlign w:val="center"/>
          </w:tcPr>
          <w:p>
            <w:pPr>
              <w:spacing w:line="360" w:lineRule="auto"/>
              <w:jc w:val="center"/>
              <w:rPr>
                <w:rFonts w:ascii="仿宋" w:hAnsi="仿宋" w:eastAsia="仿宋"/>
                <w:sz w:val="24"/>
              </w:rPr>
            </w:pPr>
            <w:r>
              <w:rPr>
                <w:rFonts w:hint="eastAsia" w:ascii="仿宋" w:hAnsi="仿宋" w:eastAsia="仿宋"/>
                <w:sz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vAlign w:val="center"/>
          </w:tcPr>
          <w:p>
            <w:pPr>
              <w:adjustRightInd w:val="0"/>
              <w:snapToGrid w:val="0"/>
              <w:spacing w:line="360" w:lineRule="auto"/>
              <w:jc w:val="center"/>
              <w:rPr>
                <w:rFonts w:ascii="仿宋" w:hAnsi="仿宋" w:eastAsia="仿宋"/>
                <w:b/>
                <w:bCs/>
                <w:color w:val="000000"/>
                <w:sz w:val="24"/>
              </w:rPr>
            </w:pPr>
            <w:r>
              <w:rPr>
                <w:rFonts w:hint="eastAsia" w:ascii="仿宋" w:hAnsi="仿宋" w:eastAsia="仿宋"/>
                <w:b/>
                <w:bCs/>
                <w:color w:val="000000"/>
                <w:sz w:val="24"/>
              </w:rPr>
              <w:t>4</w:t>
            </w:r>
          </w:p>
        </w:tc>
        <w:tc>
          <w:tcPr>
            <w:tcW w:w="1740" w:type="dxa"/>
            <w:shd w:val="clear" w:color="auto" w:fill="auto"/>
            <w:vAlign w:val="center"/>
          </w:tcPr>
          <w:p>
            <w:pPr>
              <w:pStyle w:val="25"/>
              <w:spacing w:line="360" w:lineRule="auto"/>
              <w:ind w:firstLine="0" w:firstLineChars="0"/>
              <w:jc w:val="center"/>
              <w:rPr>
                <w:rFonts w:hAnsi="宋体"/>
              </w:rPr>
            </w:pPr>
            <w:r>
              <w:rPr>
                <w:rFonts w:hint="eastAsia" w:hAnsi="宋体"/>
              </w:rPr>
              <w:t>网店运营与管理</w:t>
            </w:r>
          </w:p>
        </w:tc>
        <w:tc>
          <w:tcPr>
            <w:tcW w:w="5304" w:type="dxa"/>
            <w:shd w:val="clear" w:color="auto" w:fill="auto"/>
            <w:vAlign w:val="center"/>
          </w:tcPr>
          <w:p>
            <w:pPr>
              <w:pStyle w:val="25"/>
              <w:spacing w:line="360" w:lineRule="auto"/>
              <w:ind w:firstLine="0" w:firstLineChars="0"/>
              <w:jc w:val="left"/>
              <w:rPr>
                <w:rFonts w:hAnsi="宋体"/>
              </w:rPr>
            </w:pPr>
            <w:r>
              <w:rPr>
                <w:rFonts w:hint="eastAsia" w:hAnsi="宋体"/>
              </w:rPr>
              <w:t>随着互联网的发展开网店已经成了一种潮流和趋势，但开网店怎么才能盈利成了困扰绝大多数人的一个难题，本课程主要学习淘宝从开店到运营全套的淘宝课程以及相关技巧和方法，旨在提高学员在淘宝商海中整体的竞争力，实现学生的创业梦想。</w:t>
            </w:r>
          </w:p>
        </w:tc>
        <w:tc>
          <w:tcPr>
            <w:tcW w:w="849" w:type="dxa"/>
            <w:shd w:val="clear" w:color="auto" w:fill="auto"/>
            <w:vAlign w:val="center"/>
          </w:tcPr>
          <w:p>
            <w:pPr>
              <w:spacing w:line="360" w:lineRule="auto"/>
              <w:jc w:val="center"/>
              <w:rPr>
                <w:rFonts w:ascii="仿宋" w:hAnsi="仿宋" w:eastAsia="仿宋"/>
                <w:sz w:val="24"/>
              </w:rPr>
            </w:pPr>
            <w:r>
              <w:rPr>
                <w:rFonts w:ascii="仿宋" w:hAnsi="仿宋" w:eastAsia="仿宋"/>
                <w:sz w:val="24"/>
              </w:rPr>
              <w:t>72</w:t>
            </w:r>
          </w:p>
        </w:tc>
      </w:tr>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（3）综合实训</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综合实训教学以提升学生综合职业能力为教学目标，与企业合作开发总结实训项目，采取集中实训的教学组织形式，校企教师共同管理和考核学生。通过“企业真实案例”项目，使学生全程参与不同类型项目运作，扮演企业职员角色，多方位、多角度地感受企业环境，接受项目实战，掌握主动就业的制高点，为就业打下坚实基础。</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（4）顶岗实习</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顶岗实习是本专业学生职业技能和职业岗位工作能力培养的重要实践教学环节，的最后一个学期（第 6 学期）进行，保证学生顶岗实习的顶岗与其所学专业面向的岗位群基本一致。通过校企合作，实行工学交替、多学期、分阶段安排学生实习。要加强顶岗实习过程管理，切实保障学生的安全与权益构建校企共同指导、共同管理、合作育人的顶岗实习工作机制。</w:t>
      </w:r>
    </w:p>
    <w:p>
      <w:pPr>
        <w:overflowPunct w:val="0"/>
        <w:rPr>
          <w:rFonts w:ascii="黑体" w:hAnsi="黑体" w:eastAsia="黑体"/>
          <w:b/>
          <w:sz w:val="28"/>
          <w:szCs w:val="30"/>
        </w:rPr>
      </w:pPr>
      <w:r>
        <w:rPr>
          <w:rFonts w:hint="eastAsia" w:ascii="黑体" w:hAnsi="黑体" w:eastAsia="黑体"/>
          <w:b/>
          <w:sz w:val="28"/>
          <w:szCs w:val="30"/>
        </w:rPr>
        <w:t>七、教学进程总体安排</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1．</w:t>
      </w:r>
      <w:r>
        <w:rPr>
          <w:rFonts w:hint="eastAsia" w:ascii="仿宋_GB2312" w:eastAsia="仿宋_GB2312"/>
          <w:sz w:val="24"/>
          <w:szCs w:val="30"/>
        </w:rPr>
        <w:t>基本要求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每学年为52周，其中教学时间40周（含复习考试），累计假期12周。1周一般为28学时。顶岗实习一般按每周30小时（1小时折1学时）安排。3年总学时数约为3000学时。1-6学期教学周数分别为：17周、17周、16周、16周、16周、18周。第1～6学期周学时分别为28、28、26、26、26、30学时。</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（2）公共基础课程学时一般占总学时的1/3，累计总学时约为1学年。不同专业技能方向可根据产业人才培养的实际需要在规定的范围内适当调整，上下浮动，但必须保证学生修完公共基础课程的必修内容和学时。</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（3）专业技能课程学时一般占总学时的2/3，其中学生在实习单位的实习时间根据专业人才培养方案确定，顶岗实习一般为6个月，在确保学生实习总量的前提下，可根据实际需要，集中或分阶段安排实习时间。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（4）选修课为公共基础选修课和专业选修课，第3、4、5学期分别任选4学时、8学时、8学时。选修课程320学时，其教学时数占总学时的11%。</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2．教学</w:t>
      </w:r>
      <w:r>
        <w:rPr>
          <w:rFonts w:hint="eastAsia" w:ascii="仿宋_GB2312" w:eastAsia="仿宋_GB2312"/>
          <w:sz w:val="24"/>
          <w:szCs w:val="30"/>
        </w:rPr>
        <w:t>进</w:t>
      </w:r>
      <w:r>
        <w:rPr>
          <w:rFonts w:ascii="仿宋_GB2312" w:eastAsia="仿宋_GB2312"/>
          <w:sz w:val="24"/>
          <w:szCs w:val="30"/>
        </w:rPr>
        <w:t>度计划</w:t>
      </w:r>
      <w:r>
        <w:rPr>
          <w:rFonts w:hint="eastAsia" w:ascii="仿宋_GB2312" w:eastAsia="仿宋_GB2312"/>
          <w:sz w:val="24"/>
          <w:szCs w:val="30"/>
        </w:rPr>
        <w:t>安排表</w:t>
      </w:r>
    </w:p>
    <w:tbl>
      <w:tblPr>
        <w:tblStyle w:val="11"/>
        <w:tblpPr w:leftFromText="180" w:rightFromText="180" w:vertAnchor="text" w:horzAnchor="page" w:tblpXSpec="center" w:tblpY="119"/>
        <w:tblOverlap w:val="never"/>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567"/>
        <w:gridCol w:w="2977"/>
        <w:gridCol w:w="850"/>
        <w:gridCol w:w="850"/>
        <w:gridCol w:w="567"/>
        <w:gridCol w:w="567"/>
        <w:gridCol w:w="567"/>
        <w:gridCol w:w="567"/>
        <w:gridCol w:w="567"/>
        <w:gridCol w:w="567"/>
        <w:gridCol w:w="558"/>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trPr>
        <w:tc>
          <w:tcPr>
            <w:tcW w:w="1139" w:type="dxa"/>
            <w:gridSpan w:val="2"/>
            <w:vMerge w:val="restart"/>
            <w:vAlign w:val="center"/>
          </w:tcPr>
          <w:p>
            <w:pPr>
              <w:spacing w:before="87"/>
              <w:ind w:right="-20"/>
              <w:rPr>
                <w:rFonts w:ascii="仿宋" w:hAnsi="仿宋" w:eastAsia="仿宋" w:cs="黑体"/>
                <w:b/>
                <w:sz w:val="24"/>
              </w:rPr>
            </w:pPr>
            <w:r>
              <w:rPr>
                <w:rFonts w:hint="eastAsia" w:ascii="仿宋" w:hAnsi="仿宋" w:eastAsia="仿宋" w:cs="黑体"/>
                <w:b/>
                <w:sz w:val="24"/>
              </w:rPr>
              <w:t>课程</w:t>
            </w:r>
            <w:r>
              <w:rPr>
                <w:rFonts w:hint="eastAsia" w:ascii="仿宋" w:hAnsi="仿宋" w:eastAsia="仿宋" w:cs="黑体"/>
                <w:b/>
                <w:spacing w:val="-2"/>
                <w:sz w:val="24"/>
              </w:rPr>
              <w:t>类</w:t>
            </w:r>
            <w:r>
              <w:rPr>
                <w:rFonts w:hint="eastAsia" w:ascii="仿宋" w:hAnsi="仿宋" w:eastAsia="仿宋" w:cs="黑体"/>
                <w:b/>
                <w:sz w:val="24"/>
              </w:rPr>
              <w:t>别</w:t>
            </w:r>
          </w:p>
        </w:tc>
        <w:tc>
          <w:tcPr>
            <w:tcW w:w="2977" w:type="dxa"/>
            <w:vMerge w:val="restart"/>
            <w:vAlign w:val="center"/>
          </w:tcPr>
          <w:p>
            <w:pPr>
              <w:spacing w:before="87"/>
              <w:ind w:left="868" w:right="846"/>
              <w:jc w:val="center"/>
              <w:rPr>
                <w:rFonts w:ascii="仿宋" w:hAnsi="仿宋" w:eastAsia="仿宋" w:cs="黑体"/>
                <w:b/>
                <w:sz w:val="24"/>
              </w:rPr>
            </w:pPr>
            <w:r>
              <w:rPr>
                <w:rFonts w:hint="eastAsia" w:ascii="仿宋" w:hAnsi="仿宋" w:eastAsia="仿宋" w:cs="黑体"/>
                <w:b/>
                <w:sz w:val="24"/>
              </w:rPr>
              <w:t>课程</w:t>
            </w:r>
            <w:r>
              <w:rPr>
                <w:rFonts w:hint="eastAsia" w:ascii="仿宋" w:hAnsi="仿宋" w:eastAsia="仿宋" w:cs="黑体"/>
                <w:b/>
                <w:spacing w:val="-2"/>
                <w:sz w:val="24"/>
              </w:rPr>
              <w:t>名</w:t>
            </w:r>
            <w:r>
              <w:rPr>
                <w:rFonts w:hint="eastAsia" w:ascii="仿宋" w:hAnsi="仿宋" w:eastAsia="仿宋" w:cs="黑体"/>
                <w:b/>
                <w:sz w:val="24"/>
              </w:rPr>
              <w:t>称</w:t>
            </w:r>
          </w:p>
        </w:tc>
        <w:tc>
          <w:tcPr>
            <w:tcW w:w="850" w:type="dxa"/>
            <w:vMerge w:val="restart"/>
            <w:vAlign w:val="center"/>
          </w:tcPr>
          <w:p>
            <w:pPr>
              <w:spacing w:before="87"/>
              <w:ind w:right="-20"/>
              <w:jc w:val="center"/>
              <w:rPr>
                <w:rFonts w:ascii="仿宋" w:hAnsi="仿宋" w:eastAsia="仿宋" w:cs="黑体"/>
                <w:b/>
                <w:spacing w:val="-2"/>
                <w:sz w:val="24"/>
              </w:rPr>
            </w:pPr>
            <w:r>
              <w:rPr>
                <w:rFonts w:hint="eastAsia" w:ascii="仿宋" w:hAnsi="仿宋" w:eastAsia="仿宋" w:cs="黑体"/>
                <w:b/>
                <w:spacing w:val="-2"/>
                <w:sz w:val="24"/>
              </w:rPr>
              <w:t>课</w:t>
            </w:r>
            <w:r>
              <w:rPr>
                <w:rFonts w:ascii="仿宋" w:hAnsi="仿宋" w:eastAsia="仿宋" w:cs="黑体"/>
                <w:b/>
                <w:spacing w:val="-2"/>
                <w:sz w:val="24"/>
              </w:rPr>
              <w:t>程</w:t>
            </w:r>
          </w:p>
          <w:p>
            <w:pPr>
              <w:spacing w:before="87"/>
              <w:ind w:right="-20"/>
              <w:jc w:val="center"/>
              <w:rPr>
                <w:rFonts w:ascii="仿宋" w:hAnsi="仿宋" w:eastAsia="仿宋" w:cs="黑体"/>
                <w:b/>
                <w:spacing w:val="-2"/>
                <w:sz w:val="24"/>
              </w:rPr>
            </w:pPr>
            <w:r>
              <w:rPr>
                <w:rFonts w:ascii="仿宋" w:hAnsi="仿宋" w:eastAsia="仿宋" w:cs="黑体"/>
                <w:b/>
                <w:spacing w:val="-2"/>
                <w:sz w:val="24"/>
              </w:rPr>
              <w:t>性质</w:t>
            </w:r>
          </w:p>
        </w:tc>
        <w:tc>
          <w:tcPr>
            <w:tcW w:w="850" w:type="dxa"/>
            <w:vMerge w:val="restart"/>
            <w:vAlign w:val="center"/>
          </w:tcPr>
          <w:p>
            <w:pPr>
              <w:spacing w:before="87"/>
              <w:ind w:right="-20"/>
              <w:jc w:val="center"/>
              <w:rPr>
                <w:rFonts w:ascii="仿宋" w:hAnsi="仿宋" w:eastAsia="仿宋" w:cs="黑体"/>
                <w:b/>
                <w:sz w:val="24"/>
              </w:rPr>
            </w:pPr>
            <w:r>
              <w:rPr>
                <w:rFonts w:hint="eastAsia" w:ascii="仿宋" w:hAnsi="仿宋" w:eastAsia="仿宋" w:cs="黑体"/>
                <w:b/>
                <w:sz w:val="24"/>
              </w:rPr>
              <w:t>总学时</w:t>
            </w:r>
          </w:p>
        </w:tc>
        <w:tc>
          <w:tcPr>
            <w:tcW w:w="3402" w:type="dxa"/>
            <w:gridSpan w:val="6"/>
            <w:vAlign w:val="center"/>
          </w:tcPr>
          <w:p>
            <w:pPr>
              <w:spacing w:line="290" w:lineRule="exact"/>
              <w:ind w:left="450" w:right="-20"/>
              <w:jc w:val="center"/>
              <w:rPr>
                <w:rFonts w:ascii="仿宋" w:hAnsi="仿宋" w:eastAsia="仿宋" w:cs="黑体"/>
                <w:b/>
                <w:sz w:val="24"/>
              </w:rPr>
            </w:pPr>
            <w:r>
              <w:rPr>
                <w:rFonts w:hint="eastAsia" w:ascii="仿宋" w:hAnsi="仿宋" w:eastAsia="仿宋" w:cs="黑体"/>
                <w:b/>
                <w:sz w:val="24"/>
              </w:rPr>
              <w:t>各学</w:t>
            </w:r>
            <w:r>
              <w:rPr>
                <w:rFonts w:hint="eastAsia" w:ascii="仿宋" w:hAnsi="仿宋" w:eastAsia="仿宋" w:cs="黑体"/>
                <w:b/>
                <w:spacing w:val="-2"/>
                <w:sz w:val="24"/>
              </w:rPr>
              <w:t>期</w:t>
            </w:r>
            <w:r>
              <w:rPr>
                <w:rFonts w:hint="eastAsia" w:ascii="仿宋" w:hAnsi="仿宋" w:eastAsia="仿宋" w:cs="黑体"/>
                <w:b/>
                <w:sz w:val="24"/>
              </w:rPr>
              <w:t>周</w:t>
            </w:r>
            <w:r>
              <w:rPr>
                <w:rFonts w:hint="eastAsia" w:ascii="仿宋" w:hAnsi="仿宋" w:eastAsia="仿宋" w:cs="黑体"/>
                <w:b/>
                <w:spacing w:val="-2"/>
                <w:sz w:val="24"/>
              </w:rPr>
              <w:t>数</w:t>
            </w:r>
            <w:r>
              <w:rPr>
                <w:rFonts w:hint="eastAsia" w:ascii="仿宋" w:hAnsi="仿宋" w:eastAsia="仿宋" w:cs="黑体"/>
                <w:b/>
                <w:sz w:val="24"/>
              </w:rPr>
              <w:t>与</w:t>
            </w:r>
            <w:r>
              <w:rPr>
                <w:rFonts w:hint="eastAsia" w:ascii="仿宋" w:hAnsi="仿宋" w:eastAsia="仿宋" w:cs="黑体"/>
                <w:b/>
                <w:spacing w:val="-2"/>
                <w:sz w:val="24"/>
              </w:rPr>
              <w:t>学</w:t>
            </w:r>
            <w:r>
              <w:rPr>
                <w:rFonts w:hint="eastAsia" w:ascii="仿宋" w:hAnsi="仿宋" w:eastAsia="仿宋" w:cs="黑体"/>
                <w:b/>
                <w:sz w:val="24"/>
              </w:rPr>
              <w:t>时</w:t>
            </w:r>
            <w:r>
              <w:rPr>
                <w:rFonts w:hint="eastAsia" w:ascii="仿宋" w:hAnsi="仿宋" w:eastAsia="仿宋" w:cs="黑体"/>
                <w:b/>
                <w:spacing w:val="-2"/>
                <w:sz w:val="24"/>
              </w:rPr>
              <w:t>分</w:t>
            </w:r>
            <w:r>
              <w:rPr>
                <w:rFonts w:hint="eastAsia" w:ascii="仿宋" w:hAnsi="仿宋" w:eastAsia="仿宋" w:cs="黑体"/>
                <w:b/>
                <w:sz w:val="24"/>
              </w:rPr>
              <w:t>配</w:t>
            </w:r>
          </w:p>
        </w:tc>
        <w:tc>
          <w:tcPr>
            <w:tcW w:w="1125" w:type="dxa"/>
            <w:gridSpan w:val="2"/>
            <w:vAlign w:val="center"/>
          </w:tcPr>
          <w:p>
            <w:pPr>
              <w:spacing w:line="290" w:lineRule="exact"/>
              <w:ind w:right="-20"/>
              <w:jc w:val="center"/>
              <w:rPr>
                <w:rFonts w:ascii="仿宋" w:hAnsi="仿宋" w:eastAsia="仿宋" w:cs="黑体"/>
                <w:b/>
                <w:sz w:val="24"/>
              </w:rPr>
            </w:pPr>
            <w:r>
              <w:rPr>
                <w:rFonts w:hint="eastAsia" w:ascii="仿宋" w:hAnsi="仿宋" w:eastAsia="仿宋" w:cs="黑体"/>
                <w:b/>
                <w:sz w:val="24"/>
              </w:rPr>
              <w:t>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exact"/>
        </w:trPr>
        <w:tc>
          <w:tcPr>
            <w:tcW w:w="1139" w:type="dxa"/>
            <w:gridSpan w:val="2"/>
            <w:vMerge w:val="continue"/>
            <w:vAlign w:val="center"/>
          </w:tcPr>
          <w:p>
            <w:pPr>
              <w:jc w:val="center"/>
              <w:rPr>
                <w:rFonts w:ascii="仿宋" w:hAnsi="仿宋" w:eastAsia="仿宋" w:cs="黑体"/>
                <w:b/>
                <w:sz w:val="24"/>
              </w:rPr>
            </w:pPr>
          </w:p>
        </w:tc>
        <w:tc>
          <w:tcPr>
            <w:tcW w:w="2977" w:type="dxa"/>
            <w:vMerge w:val="continue"/>
            <w:vAlign w:val="center"/>
          </w:tcPr>
          <w:p>
            <w:pPr>
              <w:jc w:val="center"/>
              <w:rPr>
                <w:rFonts w:ascii="仿宋" w:hAnsi="仿宋" w:eastAsia="仿宋" w:cs="黑体"/>
                <w:b/>
                <w:sz w:val="24"/>
              </w:rPr>
            </w:pPr>
          </w:p>
        </w:tc>
        <w:tc>
          <w:tcPr>
            <w:tcW w:w="850" w:type="dxa"/>
            <w:vMerge w:val="continue"/>
          </w:tcPr>
          <w:p>
            <w:pPr>
              <w:rPr>
                <w:rFonts w:ascii="仿宋" w:hAnsi="仿宋" w:eastAsia="仿宋" w:cs="黑体"/>
                <w:b/>
                <w:sz w:val="24"/>
              </w:rPr>
            </w:pPr>
          </w:p>
        </w:tc>
        <w:tc>
          <w:tcPr>
            <w:tcW w:w="850" w:type="dxa"/>
            <w:vMerge w:val="continue"/>
            <w:vAlign w:val="center"/>
          </w:tcPr>
          <w:p>
            <w:pPr>
              <w:jc w:val="center"/>
              <w:rPr>
                <w:rFonts w:ascii="仿宋" w:hAnsi="仿宋" w:eastAsia="仿宋" w:cs="黑体"/>
                <w:b/>
                <w:sz w:val="24"/>
              </w:rPr>
            </w:pP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1</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2</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3</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4</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5</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6</w:t>
            </w:r>
          </w:p>
        </w:tc>
        <w:tc>
          <w:tcPr>
            <w:tcW w:w="558"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考</w:t>
            </w:r>
            <w:r>
              <w:rPr>
                <w:rFonts w:ascii="仿宋" w:hAnsi="仿宋" w:eastAsia="仿宋" w:cs="黑体"/>
                <w:b/>
                <w:position w:val="-1"/>
                <w:sz w:val="24"/>
              </w:rPr>
              <w:t>试</w:t>
            </w:r>
          </w:p>
        </w:tc>
        <w:tc>
          <w:tcPr>
            <w:tcW w:w="567" w:type="dxa"/>
            <w:vAlign w:val="center"/>
          </w:tcPr>
          <w:p>
            <w:pPr>
              <w:spacing w:line="297" w:lineRule="exact"/>
              <w:ind w:right="-20"/>
              <w:jc w:val="center"/>
              <w:rPr>
                <w:rFonts w:ascii="仿宋" w:hAnsi="仿宋" w:eastAsia="仿宋" w:cs="黑体"/>
                <w:b/>
                <w:position w:val="-1"/>
                <w:sz w:val="24"/>
              </w:rPr>
            </w:pPr>
            <w:r>
              <w:rPr>
                <w:rFonts w:hint="eastAsia" w:ascii="仿宋" w:hAnsi="仿宋" w:eastAsia="仿宋" w:cs="黑体"/>
                <w:b/>
                <w:position w:val="-1"/>
                <w:sz w:val="24"/>
              </w:rPr>
              <w:t>考</w:t>
            </w:r>
            <w:r>
              <w:rPr>
                <w:rFonts w:ascii="仿宋" w:hAnsi="仿宋" w:eastAsia="仿宋" w:cs="黑体"/>
                <w:b/>
                <w:position w:val="-1"/>
                <w:sz w:val="24"/>
              </w:rPr>
              <w:t>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restart"/>
            <w:vAlign w:val="center"/>
          </w:tcPr>
          <w:p>
            <w:pPr>
              <w:spacing w:line="360" w:lineRule="auto"/>
              <w:jc w:val="center"/>
              <w:rPr>
                <w:rFonts w:ascii="仿宋" w:hAnsi="仿宋" w:eastAsia="仿宋"/>
                <w:sz w:val="24"/>
              </w:rPr>
            </w:pPr>
            <w:r>
              <w:rPr>
                <w:rFonts w:hint="eastAsia" w:ascii="仿宋" w:hAnsi="仿宋" w:eastAsia="仿宋"/>
                <w:sz w:val="24"/>
              </w:rPr>
              <w:t>公共</w:t>
            </w:r>
          </w:p>
          <w:p>
            <w:pPr>
              <w:spacing w:line="360" w:lineRule="auto"/>
              <w:jc w:val="center"/>
              <w:rPr>
                <w:rFonts w:ascii="仿宋" w:hAnsi="仿宋" w:eastAsia="仿宋"/>
                <w:sz w:val="24"/>
              </w:rPr>
            </w:pPr>
            <w:r>
              <w:rPr>
                <w:rFonts w:hint="eastAsia" w:ascii="仿宋" w:hAnsi="仿宋" w:eastAsia="仿宋"/>
                <w:sz w:val="24"/>
              </w:rPr>
              <w:t>基础课</w:t>
            </w: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职业生涯规划</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职业道德与法律</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经济政治与社会</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哲学与人生</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语文</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数学</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216</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英语</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180</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计算机应用基础</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体育与健康</w:t>
            </w:r>
          </w:p>
        </w:tc>
        <w:tc>
          <w:tcPr>
            <w:tcW w:w="850" w:type="dxa"/>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180</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bCs/>
                <w:color w:val="000000"/>
                <w:spacing w:val="-12"/>
                <w:sz w:val="24"/>
              </w:rPr>
              <w:t>艺术（或音乐、美术）</w:t>
            </w:r>
          </w:p>
        </w:tc>
        <w:tc>
          <w:tcPr>
            <w:tcW w:w="850" w:type="dxa"/>
          </w:tcPr>
          <w:p>
            <w:pPr>
              <w:spacing w:line="360" w:lineRule="auto"/>
              <w:jc w:val="center"/>
              <w:rPr>
                <w:rFonts w:ascii="仿宋" w:hAnsi="仿宋" w:eastAsia="仿宋"/>
                <w:sz w:val="24"/>
              </w:rPr>
            </w:pPr>
            <w:r>
              <w:rPr>
                <w:rFonts w:hint="eastAsia" w:ascii="仿宋" w:hAnsi="仿宋" w:eastAsia="仿宋"/>
                <w:sz w:val="24"/>
              </w:rPr>
              <w:t>选修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历史</w:t>
            </w:r>
          </w:p>
        </w:tc>
        <w:tc>
          <w:tcPr>
            <w:tcW w:w="850" w:type="dxa"/>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39" w:type="dxa"/>
            <w:gridSpan w:val="2"/>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1064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restart"/>
            <w:vAlign w:val="center"/>
          </w:tcPr>
          <w:p>
            <w:pPr>
              <w:spacing w:line="360" w:lineRule="auto"/>
              <w:jc w:val="center"/>
              <w:rPr>
                <w:rFonts w:ascii="仿宋" w:hAnsi="仿宋" w:eastAsia="仿宋"/>
                <w:sz w:val="24"/>
              </w:rPr>
            </w:pPr>
            <w:r>
              <w:rPr>
                <w:rFonts w:hint="eastAsia" w:ascii="仿宋" w:hAnsi="仿宋" w:eastAsia="仿宋"/>
                <w:sz w:val="24"/>
              </w:rPr>
              <w:t>专</w:t>
            </w:r>
          </w:p>
          <w:p>
            <w:pPr>
              <w:spacing w:line="360" w:lineRule="auto"/>
              <w:jc w:val="center"/>
              <w:rPr>
                <w:rFonts w:ascii="仿宋" w:hAnsi="仿宋" w:eastAsia="仿宋"/>
                <w:sz w:val="24"/>
              </w:rPr>
            </w:pPr>
            <w:r>
              <w:rPr>
                <w:rFonts w:ascii="仿宋" w:hAnsi="仿宋" w:eastAsia="仿宋"/>
                <w:sz w:val="24"/>
              </w:rPr>
              <w:t>业</w:t>
            </w:r>
          </w:p>
          <w:p>
            <w:pPr>
              <w:spacing w:line="360" w:lineRule="auto"/>
              <w:jc w:val="center"/>
              <w:rPr>
                <w:rFonts w:ascii="仿宋" w:hAnsi="仿宋" w:eastAsia="仿宋"/>
                <w:sz w:val="24"/>
              </w:rPr>
            </w:pPr>
            <w:r>
              <w:rPr>
                <w:rFonts w:ascii="仿宋" w:hAnsi="仿宋" w:eastAsia="仿宋"/>
                <w:sz w:val="24"/>
              </w:rPr>
              <w:t>技</w:t>
            </w:r>
          </w:p>
          <w:p>
            <w:pPr>
              <w:spacing w:line="360" w:lineRule="auto"/>
              <w:jc w:val="center"/>
              <w:rPr>
                <w:rFonts w:ascii="仿宋" w:hAnsi="仿宋" w:eastAsia="仿宋"/>
                <w:sz w:val="24"/>
              </w:rPr>
            </w:pPr>
            <w:r>
              <w:rPr>
                <w:rFonts w:ascii="仿宋" w:hAnsi="仿宋" w:eastAsia="仿宋"/>
                <w:sz w:val="24"/>
              </w:rPr>
              <w:t>能</w:t>
            </w:r>
          </w:p>
          <w:p>
            <w:pPr>
              <w:spacing w:line="360" w:lineRule="auto"/>
              <w:jc w:val="center"/>
              <w:rPr>
                <w:rFonts w:ascii="仿宋" w:hAnsi="仿宋" w:eastAsia="仿宋"/>
                <w:sz w:val="24"/>
              </w:rPr>
            </w:pPr>
            <w:r>
              <w:rPr>
                <w:rFonts w:ascii="仿宋" w:hAnsi="仿宋" w:eastAsia="仿宋"/>
                <w:sz w:val="24"/>
              </w:rPr>
              <w:t>课</w:t>
            </w:r>
          </w:p>
        </w:tc>
        <w:tc>
          <w:tcPr>
            <w:tcW w:w="567" w:type="dxa"/>
            <w:vMerge w:val="restart"/>
            <w:vAlign w:val="center"/>
          </w:tcPr>
          <w:p>
            <w:pPr>
              <w:spacing w:line="360" w:lineRule="auto"/>
              <w:jc w:val="center"/>
              <w:rPr>
                <w:rFonts w:ascii="仿宋" w:hAnsi="仿宋" w:eastAsia="仿宋"/>
                <w:sz w:val="24"/>
              </w:rPr>
            </w:pPr>
            <w:r>
              <w:rPr>
                <w:rFonts w:hint="eastAsia" w:ascii="仿宋_GB2312" w:eastAsia="仿宋_GB2312"/>
                <w:sz w:val="24"/>
                <w:szCs w:val="30"/>
              </w:rPr>
              <w:t>专业核心课</w:t>
            </w:r>
          </w:p>
        </w:tc>
        <w:tc>
          <w:tcPr>
            <w:tcW w:w="2977" w:type="dxa"/>
            <w:vAlign w:val="center"/>
          </w:tcPr>
          <w:p>
            <w:pPr>
              <w:pStyle w:val="25"/>
              <w:spacing w:line="360" w:lineRule="auto"/>
              <w:ind w:firstLine="0" w:firstLineChars="0"/>
              <w:jc w:val="center"/>
              <w:rPr>
                <w:rFonts w:hAnsi="宋体"/>
              </w:rPr>
            </w:pPr>
            <w:r>
              <w:rPr>
                <w:rFonts w:hint="eastAsia" w:hAnsi="宋体"/>
              </w:rPr>
              <w:t>OFFICE</w:t>
            </w:r>
            <w:r>
              <w:rPr>
                <w:rFonts w:hAnsi="宋体"/>
              </w:rPr>
              <w:t xml:space="preserve"> </w:t>
            </w:r>
            <w:r>
              <w:rPr>
                <w:rFonts w:hint="eastAsia" w:hAnsi="宋体"/>
              </w:rPr>
              <w:t>2010</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72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pStyle w:val="25"/>
              <w:spacing w:line="360" w:lineRule="auto"/>
              <w:ind w:firstLine="0" w:firstLineChars="0"/>
              <w:jc w:val="center"/>
              <w:rPr>
                <w:rFonts w:hAnsi="宋体"/>
              </w:rPr>
            </w:pPr>
            <w:r>
              <w:rPr>
                <w:rFonts w:hint="eastAsia" w:hAnsi="宋体"/>
              </w:rPr>
              <w:t>计算机组装与维护</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90</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pStyle w:val="25"/>
              <w:spacing w:line="360" w:lineRule="auto"/>
              <w:ind w:firstLine="0" w:firstLineChars="0"/>
              <w:jc w:val="center"/>
              <w:rPr>
                <w:rFonts w:hAnsi="宋体"/>
              </w:rPr>
            </w:pPr>
            <w:r>
              <w:rPr>
                <w:rFonts w:hint="eastAsia" w:hAnsi="宋体"/>
              </w:rPr>
              <w:t>财税统计知识</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选</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pStyle w:val="25"/>
              <w:spacing w:line="360" w:lineRule="auto"/>
              <w:ind w:firstLine="0" w:firstLineChars="0"/>
              <w:jc w:val="center"/>
              <w:rPr>
                <w:rFonts w:hAnsi="宋体"/>
              </w:rPr>
            </w:pPr>
            <w:r>
              <w:rPr>
                <w:rFonts w:hint="eastAsia" w:hAnsi="宋体"/>
              </w:rPr>
              <w:t>管理学原理</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pStyle w:val="25"/>
              <w:spacing w:line="360" w:lineRule="auto"/>
              <w:ind w:firstLine="0" w:firstLineChars="0"/>
              <w:jc w:val="center"/>
              <w:rPr>
                <w:rFonts w:hAnsi="宋体"/>
              </w:rPr>
            </w:pPr>
            <w:r>
              <w:rPr>
                <w:rFonts w:hint="eastAsia" w:hAnsi="宋体"/>
              </w:rPr>
              <w:t>审计基础</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1</w:t>
            </w:r>
            <w:r>
              <w:rPr>
                <w:rFonts w:ascii="仿宋" w:hAnsi="仿宋" w:eastAsia="仿宋"/>
                <w:sz w:val="24"/>
              </w:rPr>
              <w:t>26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pStyle w:val="25"/>
              <w:spacing w:line="360" w:lineRule="auto"/>
              <w:ind w:firstLine="0" w:firstLineChars="0"/>
              <w:jc w:val="center"/>
              <w:rPr>
                <w:rFonts w:hAnsi="宋体"/>
              </w:rPr>
            </w:pPr>
            <w:r>
              <w:rPr>
                <w:rFonts w:hint="eastAsia" w:hAnsi="宋体"/>
              </w:rPr>
              <w:t>基础会计学</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208</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5</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pStyle w:val="25"/>
              <w:spacing w:line="360" w:lineRule="auto"/>
              <w:ind w:firstLine="0" w:firstLineChars="0"/>
              <w:jc w:val="center"/>
              <w:rPr>
                <w:rFonts w:hAnsi="宋体"/>
              </w:rPr>
            </w:pPr>
            <w:r>
              <w:rPr>
                <w:rFonts w:hint="eastAsia" w:hAnsi="宋体"/>
              </w:rPr>
              <w:t>税务会计</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90</w:t>
            </w:r>
          </w:p>
        </w:tc>
        <w:tc>
          <w:tcPr>
            <w:tcW w:w="567" w:type="dxa"/>
            <w:vAlign w:val="center"/>
          </w:tcPr>
          <w:p>
            <w:pPr>
              <w:spacing w:line="360" w:lineRule="auto"/>
              <w:jc w:val="center"/>
              <w:rPr>
                <w:rFonts w:ascii="仿宋" w:hAnsi="仿宋" w:eastAsia="仿宋"/>
                <w:sz w:val="24"/>
              </w:rPr>
            </w:pPr>
            <w:r>
              <w:rPr>
                <w:rFonts w:ascii="仿宋" w:hAnsi="仿宋" w:eastAsia="仿宋"/>
                <w:sz w:val="24"/>
              </w:rPr>
              <w:t>2</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pStyle w:val="25"/>
              <w:spacing w:line="360" w:lineRule="auto"/>
              <w:ind w:firstLine="0" w:firstLineChars="0"/>
              <w:jc w:val="center"/>
              <w:rPr>
                <w:rFonts w:hAnsi="宋体"/>
              </w:rPr>
            </w:pPr>
            <w:r>
              <w:rPr>
                <w:rFonts w:hint="eastAsia" w:hAnsi="宋体"/>
              </w:rPr>
              <w:t>财务管理</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90</w:t>
            </w: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820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_GB2312" w:eastAsia="仿宋_GB2312"/>
                <w:sz w:val="24"/>
                <w:szCs w:val="30"/>
              </w:rPr>
              <w:t>财务</w:t>
            </w:r>
            <w:r>
              <w:rPr>
                <w:rFonts w:ascii="仿宋_GB2312" w:eastAsia="仿宋_GB2312"/>
                <w:sz w:val="24"/>
                <w:szCs w:val="30"/>
              </w:rPr>
              <w:t>管理</w:t>
            </w:r>
            <w:r>
              <w:rPr>
                <w:rFonts w:hint="eastAsia" w:ascii="仿宋_GB2312" w:eastAsia="仿宋_GB2312"/>
                <w:sz w:val="24"/>
                <w:szCs w:val="30"/>
              </w:rPr>
              <w:t>方向</w:t>
            </w:r>
          </w:p>
        </w:tc>
        <w:tc>
          <w:tcPr>
            <w:tcW w:w="2977" w:type="dxa"/>
            <w:vAlign w:val="center"/>
          </w:tcPr>
          <w:p>
            <w:pPr>
              <w:pStyle w:val="25"/>
              <w:spacing w:line="360" w:lineRule="auto"/>
              <w:ind w:firstLine="0" w:firstLineChars="0"/>
              <w:jc w:val="center"/>
              <w:rPr>
                <w:rFonts w:hAnsi="宋体"/>
              </w:rPr>
            </w:pPr>
            <w:r>
              <w:rPr>
                <w:rFonts w:hint="eastAsia" w:hAnsi="宋体"/>
              </w:rPr>
              <w:t>ERP原理及应用</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pStyle w:val="25"/>
              <w:spacing w:line="360" w:lineRule="auto"/>
              <w:ind w:firstLine="0" w:firstLineChars="0"/>
              <w:jc w:val="center"/>
              <w:rPr>
                <w:rFonts w:hAnsi="宋体"/>
              </w:rPr>
            </w:pPr>
            <w:r>
              <w:rPr>
                <w:rFonts w:hint="eastAsia" w:hAnsi="宋体"/>
              </w:rPr>
              <w:t>会计实务</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4</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pStyle w:val="25"/>
              <w:spacing w:line="360" w:lineRule="auto"/>
              <w:ind w:firstLine="0" w:firstLineChars="0"/>
              <w:jc w:val="center"/>
              <w:rPr>
                <w:rFonts w:hAnsi="宋体"/>
              </w:rPr>
            </w:pPr>
            <w:r>
              <w:rPr>
                <w:rFonts w:hint="eastAsia" w:hAnsi="宋体"/>
              </w:rPr>
              <w:t>财务报表分析</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pStyle w:val="25"/>
              <w:spacing w:line="360" w:lineRule="auto"/>
              <w:ind w:firstLine="0" w:firstLineChars="0"/>
              <w:jc w:val="center"/>
              <w:rPr>
                <w:rFonts w:hAnsi="宋体"/>
              </w:rPr>
            </w:pPr>
            <w:r>
              <w:rPr>
                <w:rFonts w:hint="eastAsia" w:hAnsi="宋体"/>
              </w:rPr>
              <w:t>财经应用文写作</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exact"/>
        </w:trPr>
        <w:tc>
          <w:tcPr>
            <w:tcW w:w="572" w:type="dxa"/>
            <w:vMerge w:val="continue"/>
            <w:vAlign w:val="center"/>
          </w:tcPr>
          <w:p>
            <w:pPr>
              <w:spacing w:line="360" w:lineRule="auto"/>
              <w:jc w:val="center"/>
              <w:rPr>
                <w:rFonts w:ascii="仿宋" w:hAnsi="仿宋" w:eastAsia="仿宋"/>
                <w:sz w:val="24"/>
              </w:rPr>
            </w:pPr>
          </w:p>
        </w:tc>
        <w:tc>
          <w:tcPr>
            <w:tcW w:w="567" w:type="dxa"/>
            <w:vMerge w:val="restart"/>
            <w:vAlign w:val="center"/>
          </w:tcPr>
          <w:p>
            <w:pPr>
              <w:spacing w:line="360" w:lineRule="auto"/>
              <w:jc w:val="center"/>
              <w:rPr>
                <w:rFonts w:ascii="仿宋" w:hAnsi="仿宋" w:eastAsia="仿宋"/>
                <w:sz w:val="24"/>
              </w:rPr>
            </w:pPr>
            <w:r>
              <w:rPr>
                <w:rFonts w:hint="eastAsia" w:ascii="仿宋_GB2312" w:eastAsia="仿宋_GB2312"/>
                <w:sz w:val="24"/>
                <w:szCs w:val="30"/>
              </w:rPr>
              <w:t>电商营</w:t>
            </w:r>
            <w:r>
              <w:rPr>
                <w:rFonts w:ascii="仿宋_GB2312" w:eastAsia="仿宋_GB2312"/>
                <w:sz w:val="24"/>
                <w:szCs w:val="30"/>
              </w:rPr>
              <w:t>销</w:t>
            </w:r>
            <w:r>
              <w:rPr>
                <w:rFonts w:hint="eastAsia" w:ascii="仿宋_GB2312" w:eastAsia="仿宋_GB2312"/>
                <w:sz w:val="24"/>
                <w:szCs w:val="30"/>
              </w:rPr>
              <w:t>方向</w:t>
            </w:r>
          </w:p>
        </w:tc>
        <w:tc>
          <w:tcPr>
            <w:tcW w:w="2977" w:type="dxa"/>
            <w:vAlign w:val="center"/>
          </w:tcPr>
          <w:p>
            <w:pPr>
              <w:pStyle w:val="25"/>
              <w:spacing w:line="360" w:lineRule="auto"/>
              <w:ind w:firstLine="0" w:firstLineChars="0"/>
              <w:jc w:val="center"/>
              <w:rPr>
                <w:rFonts w:hAnsi="宋体"/>
              </w:rPr>
            </w:pPr>
            <w:r>
              <w:rPr>
                <w:rFonts w:hint="eastAsia" w:hAnsi="宋体"/>
              </w:rPr>
              <w:t>SMM社会化媒体营销</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54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pStyle w:val="25"/>
              <w:spacing w:line="360" w:lineRule="auto"/>
              <w:ind w:firstLine="0" w:firstLineChars="0"/>
              <w:jc w:val="center"/>
              <w:rPr>
                <w:rFonts w:hAnsi="宋体"/>
              </w:rPr>
            </w:pPr>
            <w:r>
              <w:rPr>
                <w:rFonts w:hint="eastAsia" w:hAnsi="宋体"/>
              </w:rPr>
              <w:t>市场营销</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36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pStyle w:val="25"/>
              <w:spacing w:line="360" w:lineRule="auto"/>
              <w:ind w:firstLine="0" w:firstLineChars="0"/>
              <w:jc w:val="center"/>
              <w:rPr>
                <w:rFonts w:hAnsi="宋体"/>
              </w:rPr>
            </w:pPr>
            <w:r>
              <w:rPr>
                <w:rFonts w:hint="eastAsia" w:hAnsi="宋体"/>
              </w:rPr>
              <w:t>跨境电商速卖通运营与管理</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54</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3</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pStyle w:val="25"/>
              <w:spacing w:line="360" w:lineRule="auto"/>
              <w:ind w:firstLine="0" w:firstLineChars="0"/>
              <w:jc w:val="center"/>
              <w:rPr>
                <w:rFonts w:hAnsi="宋体"/>
              </w:rPr>
            </w:pPr>
            <w:r>
              <w:rPr>
                <w:rFonts w:hint="eastAsia" w:hAnsi="宋体"/>
              </w:rPr>
              <w:t>网店运营与管理</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72</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2</w:t>
            </w:r>
          </w:p>
        </w:tc>
        <w:tc>
          <w:tcPr>
            <w:tcW w:w="567" w:type="dxa"/>
            <w:vAlign w:val="center"/>
          </w:tcPr>
          <w:p>
            <w:pPr>
              <w:spacing w:line="360" w:lineRule="auto"/>
              <w:jc w:val="center"/>
              <w:rPr>
                <w:rFonts w:ascii="仿宋" w:hAnsi="仿宋" w:eastAsia="仿宋"/>
                <w:sz w:val="24"/>
              </w:rPr>
            </w:pPr>
            <w:r>
              <w:rPr>
                <w:rFonts w:ascii="仿宋" w:hAnsi="仿宋" w:eastAsia="仿宋"/>
                <w:sz w:val="24"/>
              </w:rPr>
              <w:t>2</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exact"/>
        </w:trPr>
        <w:tc>
          <w:tcPr>
            <w:tcW w:w="572" w:type="dxa"/>
            <w:vMerge w:val="continue"/>
            <w:vAlign w:val="center"/>
          </w:tcPr>
          <w:p>
            <w:pPr>
              <w:spacing w:line="360" w:lineRule="auto"/>
              <w:jc w:val="center"/>
              <w:rPr>
                <w:rFonts w:ascii="仿宋" w:hAnsi="仿宋" w:eastAsia="仿宋"/>
                <w:sz w:val="24"/>
              </w:rPr>
            </w:pPr>
          </w:p>
        </w:tc>
        <w:tc>
          <w:tcPr>
            <w:tcW w:w="567" w:type="dxa"/>
            <w:vMerge w:val="continue"/>
            <w:vAlign w:val="center"/>
          </w:tcPr>
          <w:p>
            <w:pPr>
              <w:spacing w:line="360" w:lineRule="auto"/>
              <w:jc w:val="center"/>
              <w:rPr>
                <w:rFonts w:ascii="仿宋" w:hAnsi="仿宋" w:eastAsia="仿宋"/>
                <w:sz w:val="24"/>
              </w:rPr>
            </w:pPr>
          </w:p>
        </w:tc>
        <w:tc>
          <w:tcPr>
            <w:tcW w:w="2977" w:type="dxa"/>
            <w:vAlign w:val="center"/>
          </w:tcPr>
          <w:p>
            <w:pPr>
              <w:spacing w:line="360" w:lineRule="auto"/>
              <w:jc w:val="center"/>
              <w:rPr>
                <w:rFonts w:ascii="仿宋" w:hAnsi="仿宋" w:eastAsia="仿宋"/>
                <w:sz w:val="24"/>
              </w:rPr>
            </w:pPr>
            <w:r>
              <w:rPr>
                <w:rFonts w:hint="eastAsia" w:ascii="仿宋" w:hAnsi="仿宋" w:eastAsia="仿宋"/>
                <w:sz w:val="24"/>
              </w:rPr>
              <w:t>小计：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216</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exact"/>
        </w:trPr>
        <w:tc>
          <w:tcPr>
            <w:tcW w:w="572" w:type="dxa"/>
            <w:vMerge w:val="continue"/>
            <w:vAlign w:val="center"/>
          </w:tcPr>
          <w:p>
            <w:pPr>
              <w:spacing w:line="360" w:lineRule="auto"/>
              <w:jc w:val="center"/>
              <w:rPr>
                <w:rFonts w:ascii="仿宋" w:hAnsi="仿宋" w:eastAsia="仿宋"/>
                <w:sz w:val="24"/>
              </w:rPr>
            </w:pPr>
          </w:p>
        </w:tc>
        <w:tc>
          <w:tcPr>
            <w:tcW w:w="3544" w:type="dxa"/>
            <w:gridSpan w:val="2"/>
            <w:vAlign w:val="center"/>
          </w:tcPr>
          <w:p>
            <w:pPr>
              <w:spacing w:line="360" w:lineRule="auto"/>
              <w:jc w:val="center"/>
              <w:rPr>
                <w:rFonts w:ascii="仿宋" w:hAnsi="仿宋" w:eastAsia="仿宋"/>
                <w:sz w:val="24"/>
              </w:rPr>
            </w:pPr>
            <w:r>
              <w:rPr>
                <w:rFonts w:hint="eastAsia" w:ascii="仿宋" w:hAnsi="仿宋" w:eastAsia="仿宋"/>
                <w:sz w:val="24"/>
              </w:rPr>
              <w:t>综合实训</w:t>
            </w:r>
          </w:p>
          <w:p>
            <w:pPr>
              <w:spacing w:line="360" w:lineRule="auto"/>
              <w:jc w:val="center"/>
              <w:rPr>
                <w:rFonts w:ascii="仿宋" w:hAnsi="仿宋" w:eastAsia="仿宋"/>
                <w:sz w:val="24"/>
              </w:rPr>
            </w:pPr>
            <w:r>
              <w:rPr>
                <w:rFonts w:hint="eastAsia" w:ascii="仿宋" w:hAnsi="仿宋" w:eastAsia="仿宋"/>
                <w:sz w:val="24"/>
              </w:rPr>
              <w:t>实训</w:t>
            </w:r>
          </w:p>
          <w:p>
            <w:pPr>
              <w:spacing w:line="360" w:lineRule="auto"/>
              <w:jc w:val="center"/>
              <w:rPr>
                <w:rFonts w:ascii="仿宋" w:hAnsi="仿宋" w:eastAsia="仿宋"/>
                <w:sz w:val="24"/>
              </w:rPr>
            </w:pPr>
            <w:r>
              <w:rPr>
                <w:rFonts w:hint="eastAsia" w:ascii="仿宋" w:hAnsi="仿宋" w:eastAsia="仿宋"/>
                <w:sz w:val="24"/>
              </w:rPr>
              <w:t>综合实训</w:t>
            </w:r>
          </w:p>
        </w:tc>
        <w:tc>
          <w:tcPr>
            <w:tcW w:w="850" w:type="dxa"/>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ascii="仿宋" w:hAnsi="仿宋" w:eastAsia="仿宋"/>
                <w:sz w:val="24"/>
              </w:rPr>
              <w:t>540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ascii="仿宋" w:hAnsi="仿宋" w:eastAsia="仿宋"/>
                <w:sz w:val="24"/>
              </w:rPr>
              <w:t>30</w:t>
            </w:r>
          </w:p>
        </w:tc>
        <w:tc>
          <w:tcPr>
            <w:tcW w:w="567" w:type="dxa"/>
            <w:vAlign w:val="center"/>
          </w:tcPr>
          <w:p>
            <w:pPr>
              <w:spacing w:line="360" w:lineRule="auto"/>
              <w:jc w:val="center"/>
              <w:rPr>
                <w:rFonts w:ascii="仿宋" w:hAnsi="仿宋" w:eastAsia="仿宋"/>
                <w:sz w:val="24"/>
              </w:rPr>
            </w:pPr>
          </w:p>
        </w:tc>
        <w:tc>
          <w:tcPr>
            <w:tcW w:w="558" w:type="dxa"/>
          </w:tcPr>
          <w:p>
            <w:pPr>
              <w:spacing w:line="360" w:lineRule="auto"/>
              <w:jc w:val="center"/>
              <w:rPr>
                <w:rFonts w:ascii="仿宋" w:hAnsi="仿宋" w:eastAsia="仿宋"/>
                <w:sz w:val="24"/>
              </w:rPr>
            </w:pPr>
            <w:r>
              <w:rPr>
                <w:rFonts w:hint="eastAsia" w:ascii="仿宋" w:hAnsi="仿宋" w:eastAsia="仿宋"/>
                <w:sz w:val="24"/>
              </w:rPr>
              <w:t>√</w:t>
            </w:r>
          </w:p>
        </w:tc>
        <w:tc>
          <w:tcPr>
            <w:tcW w:w="567" w:type="dxa"/>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exact"/>
        </w:trPr>
        <w:tc>
          <w:tcPr>
            <w:tcW w:w="572" w:type="dxa"/>
            <w:vMerge w:val="continue"/>
            <w:vAlign w:val="center"/>
          </w:tcPr>
          <w:p>
            <w:pPr>
              <w:spacing w:line="360" w:lineRule="auto"/>
              <w:jc w:val="center"/>
              <w:rPr>
                <w:rFonts w:ascii="仿宋" w:hAnsi="仿宋" w:eastAsia="仿宋"/>
                <w:sz w:val="24"/>
              </w:rPr>
            </w:pPr>
          </w:p>
        </w:tc>
        <w:tc>
          <w:tcPr>
            <w:tcW w:w="3544" w:type="dxa"/>
            <w:gridSpan w:val="2"/>
            <w:vAlign w:val="center"/>
          </w:tcPr>
          <w:p>
            <w:pPr>
              <w:spacing w:line="360" w:lineRule="auto"/>
              <w:jc w:val="center"/>
              <w:rPr>
                <w:rFonts w:ascii="仿宋" w:hAnsi="仿宋" w:eastAsia="仿宋"/>
                <w:sz w:val="24"/>
              </w:rPr>
            </w:pPr>
            <w:r>
              <w:rPr>
                <w:rFonts w:hint="eastAsia" w:ascii="仿宋" w:hAnsi="仿宋" w:eastAsia="仿宋"/>
                <w:sz w:val="24"/>
              </w:rPr>
              <w:t>顶岗实习</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必</w:t>
            </w:r>
            <w:r>
              <w:rPr>
                <w:rFonts w:ascii="仿宋" w:hAnsi="仿宋" w:eastAsia="仿宋"/>
                <w:sz w:val="24"/>
              </w:rPr>
              <w:t>修</w:t>
            </w:r>
          </w:p>
        </w:tc>
        <w:tc>
          <w:tcPr>
            <w:tcW w:w="850" w:type="dxa"/>
            <w:vAlign w:val="center"/>
          </w:tcPr>
          <w:p>
            <w:pPr>
              <w:spacing w:line="360" w:lineRule="auto"/>
              <w:jc w:val="center"/>
              <w:rPr>
                <w:rFonts w:ascii="仿宋" w:hAnsi="仿宋" w:eastAsia="仿宋"/>
                <w:sz w:val="24"/>
              </w:rPr>
            </w:pPr>
            <w:r>
              <w:rPr>
                <w:rFonts w:hint="eastAsia" w:ascii="仿宋" w:hAnsi="仿宋" w:eastAsia="仿宋"/>
                <w:sz w:val="24"/>
              </w:rPr>
              <w:t>540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30</w:t>
            </w:r>
          </w:p>
        </w:tc>
        <w:tc>
          <w:tcPr>
            <w:tcW w:w="558"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exact"/>
        </w:trPr>
        <w:tc>
          <w:tcPr>
            <w:tcW w:w="4116" w:type="dxa"/>
            <w:gridSpan w:val="3"/>
            <w:vAlign w:val="center"/>
          </w:tcPr>
          <w:p>
            <w:pPr>
              <w:spacing w:line="360" w:lineRule="auto"/>
              <w:jc w:val="center"/>
              <w:rPr>
                <w:rFonts w:ascii="仿宋" w:hAnsi="仿宋" w:eastAsia="仿宋"/>
                <w:sz w:val="24"/>
              </w:rPr>
            </w:pPr>
            <w:r>
              <w:rPr>
                <w:rFonts w:hint="eastAsia" w:ascii="仿宋" w:hAnsi="仿宋" w:eastAsia="仿宋"/>
                <w:sz w:val="24"/>
              </w:rPr>
              <w:t>合计：</w:t>
            </w:r>
          </w:p>
        </w:tc>
        <w:tc>
          <w:tcPr>
            <w:tcW w:w="850" w:type="dxa"/>
            <w:vAlign w:val="center"/>
          </w:tcPr>
          <w:p>
            <w:pPr>
              <w:spacing w:line="360" w:lineRule="auto"/>
              <w:jc w:val="center"/>
              <w:rPr>
                <w:rFonts w:ascii="仿宋" w:hAnsi="仿宋" w:eastAsia="仿宋"/>
                <w:sz w:val="24"/>
              </w:rPr>
            </w:pPr>
          </w:p>
        </w:tc>
        <w:tc>
          <w:tcPr>
            <w:tcW w:w="850" w:type="dxa"/>
            <w:vAlign w:val="center"/>
          </w:tcPr>
          <w:p>
            <w:pPr>
              <w:spacing w:line="360" w:lineRule="auto"/>
              <w:jc w:val="center"/>
              <w:rPr>
                <w:rFonts w:ascii="仿宋" w:hAnsi="仿宋" w:eastAsia="仿宋"/>
                <w:sz w:val="24"/>
              </w:rPr>
            </w:pPr>
            <w:r>
              <w:rPr>
                <w:rFonts w:ascii="仿宋" w:hAnsi="仿宋" w:eastAsia="仿宋"/>
                <w:sz w:val="24"/>
              </w:rPr>
              <w:t>3180</w:t>
            </w: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c>
          <w:tcPr>
            <w:tcW w:w="558" w:type="dxa"/>
            <w:vAlign w:val="center"/>
          </w:tcPr>
          <w:p>
            <w:pPr>
              <w:spacing w:line="360" w:lineRule="auto"/>
              <w:jc w:val="center"/>
              <w:rPr>
                <w:rFonts w:ascii="仿宋" w:hAnsi="仿宋" w:eastAsia="仿宋"/>
                <w:sz w:val="24"/>
              </w:rPr>
            </w:pPr>
          </w:p>
        </w:tc>
        <w:tc>
          <w:tcPr>
            <w:tcW w:w="567" w:type="dxa"/>
            <w:vAlign w:val="center"/>
          </w:tcPr>
          <w:p>
            <w:pPr>
              <w:spacing w:line="360" w:lineRule="auto"/>
              <w:jc w:val="center"/>
              <w:rPr>
                <w:rFonts w:ascii="仿宋" w:hAnsi="仿宋" w:eastAsia="仿宋"/>
                <w:sz w:val="24"/>
              </w:rPr>
            </w:pPr>
          </w:p>
        </w:tc>
      </w:tr>
    </w:tbl>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3．教学</w:t>
      </w:r>
      <w:r>
        <w:rPr>
          <w:rFonts w:hint="eastAsia" w:ascii="仿宋_GB2312" w:eastAsia="仿宋_GB2312"/>
          <w:sz w:val="24"/>
          <w:szCs w:val="30"/>
        </w:rPr>
        <w:t>学</w:t>
      </w:r>
      <w:r>
        <w:rPr>
          <w:rFonts w:ascii="仿宋_GB2312" w:eastAsia="仿宋_GB2312"/>
          <w:sz w:val="24"/>
          <w:szCs w:val="30"/>
        </w:rPr>
        <w:t>时</w:t>
      </w:r>
      <w:r>
        <w:rPr>
          <w:rFonts w:hint="eastAsia" w:ascii="仿宋_GB2312" w:eastAsia="仿宋_GB2312"/>
          <w:sz w:val="24"/>
          <w:szCs w:val="30"/>
        </w:rPr>
        <w:t>分配</w:t>
      </w:r>
      <w:r>
        <w:rPr>
          <w:rFonts w:ascii="仿宋_GB2312" w:eastAsia="仿宋_GB2312"/>
          <w:sz w:val="24"/>
          <w:szCs w:val="30"/>
        </w:rPr>
        <w:t>及比例</w:t>
      </w:r>
      <w:r>
        <w:rPr>
          <w:rFonts w:hint="eastAsia" w:ascii="仿宋_GB2312" w:eastAsia="仿宋_GB2312"/>
          <w:sz w:val="24"/>
          <w:szCs w:val="30"/>
        </w:rPr>
        <w:t>表</w:t>
      </w:r>
    </w:p>
    <w:tbl>
      <w:tblPr>
        <w:tblStyle w:val="12"/>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1843"/>
        <w:gridCol w:w="2409"/>
        <w:gridCol w:w="2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988" w:type="dxa"/>
            <w:vAlign w:val="center"/>
          </w:tcPr>
          <w:p>
            <w:pPr>
              <w:overflowPunct w:val="0"/>
              <w:spacing w:line="360" w:lineRule="auto"/>
              <w:jc w:val="center"/>
              <w:rPr>
                <w:rFonts w:ascii="仿宋_GB2312" w:eastAsia="仿宋_GB2312"/>
                <w:b/>
                <w:kern w:val="0"/>
                <w:sz w:val="24"/>
                <w:szCs w:val="30"/>
              </w:rPr>
            </w:pPr>
            <w:r>
              <w:rPr>
                <w:rFonts w:hint="eastAsia" w:ascii="仿宋_GB2312" w:eastAsia="仿宋_GB2312"/>
                <w:b/>
                <w:kern w:val="0"/>
                <w:sz w:val="24"/>
                <w:szCs w:val="30"/>
              </w:rPr>
              <w:t>序号</w:t>
            </w:r>
          </w:p>
        </w:tc>
        <w:tc>
          <w:tcPr>
            <w:tcW w:w="3402" w:type="dxa"/>
            <w:gridSpan w:val="2"/>
            <w:vAlign w:val="center"/>
          </w:tcPr>
          <w:p>
            <w:pPr>
              <w:overflowPunct w:val="0"/>
              <w:spacing w:line="360" w:lineRule="auto"/>
              <w:jc w:val="center"/>
              <w:rPr>
                <w:rFonts w:ascii="仿宋_GB2312" w:eastAsia="仿宋_GB2312"/>
                <w:b/>
                <w:kern w:val="0"/>
                <w:sz w:val="24"/>
                <w:szCs w:val="30"/>
              </w:rPr>
            </w:pPr>
            <w:r>
              <w:rPr>
                <w:rFonts w:hint="eastAsia" w:ascii="仿宋_GB2312" w:eastAsia="仿宋_GB2312"/>
                <w:b/>
                <w:kern w:val="0"/>
                <w:sz w:val="24"/>
                <w:szCs w:val="30"/>
              </w:rPr>
              <w:t>课</w:t>
            </w:r>
            <w:r>
              <w:rPr>
                <w:rFonts w:ascii="仿宋_GB2312" w:eastAsia="仿宋_GB2312"/>
                <w:b/>
                <w:kern w:val="0"/>
                <w:sz w:val="24"/>
                <w:szCs w:val="30"/>
              </w:rPr>
              <w:t>程类别</w:t>
            </w:r>
          </w:p>
        </w:tc>
        <w:tc>
          <w:tcPr>
            <w:tcW w:w="2409" w:type="dxa"/>
            <w:vAlign w:val="center"/>
          </w:tcPr>
          <w:p>
            <w:pPr>
              <w:overflowPunct w:val="0"/>
              <w:spacing w:line="360" w:lineRule="auto"/>
              <w:jc w:val="center"/>
              <w:rPr>
                <w:rFonts w:ascii="仿宋_GB2312" w:eastAsia="仿宋_GB2312"/>
                <w:b/>
                <w:kern w:val="0"/>
                <w:sz w:val="24"/>
                <w:szCs w:val="30"/>
              </w:rPr>
            </w:pPr>
            <w:r>
              <w:rPr>
                <w:rFonts w:hint="eastAsia" w:ascii="仿宋_GB2312" w:eastAsia="仿宋_GB2312"/>
                <w:b/>
                <w:kern w:val="0"/>
                <w:sz w:val="24"/>
                <w:szCs w:val="30"/>
              </w:rPr>
              <w:t>学</w:t>
            </w:r>
            <w:r>
              <w:rPr>
                <w:rFonts w:ascii="仿宋_GB2312" w:eastAsia="仿宋_GB2312"/>
                <w:b/>
                <w:kern w:val="0"/>
                <w:sz w:val="24"/>
                <w:szCs w:val="30"/>
              </w:rPr>
              <w:t>时数</w:t>
            </w:r>
          </w:p>
        </w:tc>
        <w:tc>
          <w:tcPr>
            <w:tcW w:w="2869" w:type="dxa"/>
            <w:vAlign w:val="center"/>
          </w:tcPr>
          <w:p>
            <w:pPr>
              <w:overflowPunct w:val="0"/>
              <w:spacing w:line="360" w:lineRule="auto"/>
              <w:jc w:val="center"/>
              <w:rPr>
                <w:rFonts w:ascii="仿宋_GB2312" w:eastAsia="仿宋_GB2312"/>
                <w:b/>
                <w:kern w:val="0"/>
                <w:sz w:val="24"/>
                <w:szCs w:val="30"/>
              </w:rPr>
            </w:pPr>
            <w:r>
              <w:rPr>
                <w:rFonts w:hint="eastAsia" w:ascii="仿宋_GB2312" w:eastAsia="仿宋_GB2312"/>
                <w:b/>
                <w:kern w:val="0"/>
                <w:sz w:val="24"/>
                <w:szCs w:val="30"/>
              </w:rPr>
              <w:t>占总学时比例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1</w:t>
            </w:r>
          </w:p>
        </w:tc>
        <w:tc>
          <w:tcPr>
            <w:tcW w:w="1559" w:type="dxa"/>
            <w:vMerge w:val="restart"/>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必</w:t>
            </w:r>
            <w:r>
              <w:rPr>
                <w:rFonts w:ascii="仿宋_GB2312" w:eastAsia="仿宋_GB2312"/>
                <w:kern w:val="0"/>
                <w:sz w:val="24"/>
                <w:szCs w:val="30"/>
              </w:rPr>
              <w:t>修课</w:t>
            </w:r>
          </w:p>
        </w:tc>
        <w:tc>
          <w:tcPr>
            <w:tcW w:w="1843"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公</w:t>
            </w:r>
            <w:r>
              <w:rPr>
                <w:rFonts w:ascii="仿宋_GB2312" w:eastAsia="仿宋_GB2312"/>
                <w:kern w:val="0"/>
                <w:sz w:val="24"/>
                <w:szCs w:val="30"/>
              </w:rPr>
              <w:t>共课程</w:t>
            </w:r>
          </w:p>
        </w:tc>
        <w:tc>
          <w:tcPr>
            <w:tcW w:w="2409"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812</w:t>
            </w:r>
          </w:p>
        </w:tc>
        <w:tc>
          <w:tcPr>
            <w:tcW w:w="2869" w:type="dxa"/>
          </w:tcPr>
          <w:p>
            <w:pPr>
              <w:overflowPunct w:val="0"/>
              <w:spacing w:line="360" w:lineRule="auto"/>
              <w:jc w:val="center"/>
              <w:rPr>
                <w:rFonts w:ascii="仿宋_GB2312" w:eastAsia="仿宋_GB2312"/>
                <w:kern w:val="0"/>
                <w:sz w:val="24"/>
                <w:szCs w:val="30"/>
              </w:rPr>
            </w:pPr>
            <w:r>
              <w:rPr>
                <w:rFonts w:ascii="仿宋_GB2312" w:eastAsia="仿宋_GB2312"/>
                <w:kern w:val="0"/>
                <w:sz w:val="24"/>
                <w:szCs w:val="30"/>
              </w:rPr>
              <w:t>25.53%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2</w:t>
            </w:r>
          </w:p>
        </w:tc>
        <w:tc>
          <w:tcPr>
            <w:tcW w:w="1559" w:type="dxa"/>
            <w:vMerge w:val="continue"/>
            <w:vAlign w:val="center"/>
          </w:tcPr>
          <w:p>
            <w:pPr>
              <w:overflowPunct w:val="0"/>
              <w:spacing w:line="360" w:lineRule="auto"/>
              <w:jc w:val="center"/>
              <w:rPr>
                <w:rFonts w:ascii="仿宋_GB2312" w:eastAsia="仿宋_GB2312"/>
                <w:kern w:val="0"/>
                <w:sz w:val="24"/>
                <w:szCs w:val="30"/>
              </w:rPr>
            </w:pPr>
          </w:p>
        </w:tc>
        <w:tc>
          <w:tcPr>
            <w:tcW w:w="1843"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专</w:t>
            </w:r>
            <w:r>
              <w:rPr>
                <w:rFonts w:ascii="仿宋_GB2312" w:eastAsia="仿宋_GB2312"/>
                <w:kern w:val="0"/>
                <w:sz w:val="24"/>
                <w:szCs w:val="30"/>
              </w:rPr>
              <w:t>业课程</w:t>
            </w:r>
          </w:p>
        </w:tc>
        <w:tc>
          <w:tcPr>
            <w:tcW w:w="2409"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1</w:t>
            </w:r>
            <w:r>
              <w:rPr>
                <w:rFonts w:ascii="仿宋_GB2312" w:eastAsia="仿宋_GB2312"/>
                <w:kern w:val="0"/>
                <w:sz w:val="24"/>
                <w:szCs w:val="30"/>
              </w:rPr>
              <w:t>954</w:t>
            </w:r>
          </w:p>
        </w:tc>
        <w:tc>
          <w:tcPr>
            <w:tcW w:w="2869" w:type="dxa"/>
          </w:tcPr>
          <w:p>
            <w:pPr>
              <w:overflowPunct w:val="0"/>
              <w:spacing w:line="360" w:lineRule="auto"/>
              <w:jc w:val="center"/>
              <w:rPr>
                <w:rFonts w:ascii="仿宋_GB2312" w:eastAsia="仿宋_GB2312"/>
                <w:kern w:val="0"/>
                <w:sz w:val="24"/>
                <w:szCs w:val="30"/>
              </w:rPr>
            </w:pPr>
            <w:r>
              <w:rPr>
                <w:rFonts w:ascii="仿宋_GB2312" w:eastAsia="仿宋_GB2312"/>
                <w:kern w:val="0"/>
                <w:sz w:val="24"/>
                <w:szCs w:val="30"/>
              </w:rPr>
              <w:t>61.45%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3</w:t>
            </w:r>
          </w:p>
        </w:tc>
        <w:tc>
          <w:tcPr>
            <w:tcW w:w="1559" w:type="dxa"/>
            <w:vMerge w:val="restart"/>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选</w:t>
            </w:r>
            <w:r>
              <w:rPr>
                <w:rFonts w:ascii="仿宋_GB2312" w:eastAsia="仿宋_GB2312"/>
                <w:kern w:val="0"/>
                <w:sz w:val="24"/>
                <w:szCs w:val="30"/>
              </w:rPr>
              <w:t>修课</w:t>
            </w:r>
          </w:p>
        </w:tc>
        <w:tc>
          <w:tcPr>
            <w:tcW w:w="1843"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公</w:t>
            </w:r>
            <w:r>
              <w:rPr>
                <w:rFonts w:ascii="仿宋_GB2312" w:eastAsia="仿宋_GB2312"/>
                <w:kern w:val="0"/>
                <w:sz w:val="24"/>
                <w:szCs w:val="30"/>
              </w:rPr>
              <w:t>共课程</w:t>
            </w:r>
          </w:p>
        </w:tc>
        <w:tc>
          <w:tcPr>
            <w:tcW w:w="2409" w:type="dxa"/>
            <w:vAlign w:val="center"/>
          </w:tcPr>
          <w:p>
            <w:pPr>
              <w:overflowPunct w:val="0"/>
              <w:spacing w:line="360" w:lineRule="auto"/>
              <w:jc w:val="center"/>
              <w:rPr>
                <w:rFonts w:ascii="仿宋_GB2312" w:eastAsia="仿宋_GB2312"/>
                <w:kern w:val="0"/>
                <w:sz w:val="24"/>
                <w:szCs w:val="30"/>
              </w:rPr>
            </w:pPr>
            <w:r>
              <w:rPr>
                <w:rFonts w:ascii="仿宋_GB2312" w:eastAsia="仿宋_GB2312"/>
                <w:kern w:val="0"/>
                <w:sz w:val="24"/>
                <w:szCs w:val="30"/>
              </w:rPr>
              <w:t>252</w:t>
            </w:r>
          </w:p>
        </w:tc>
        <w:tc>
          <w:tcPr>
            <w:tcW w:w="2869" w:type="dxa"/>
          </w:tcPr>
          <w:p>
            <w:pPr>
              <w:overflowPunct w:val="0"/>
              <w:spacing w:line="360" w:lineRule="auto"/>
              <w:jc w:val="center"/>
              <w:rPr>
                <w:rFonts w:ascii="仿宋_GB2312" w:eastAsia="仿宋_GB2312"/>
                <w:kern w:val="0"/>
                <w:sz w:val="24"/>
                <w:szCs w:val="30"/>
              </w:rPr>
            </w:pPr>
            <w:r>
              <w:rPr>
                <w:rFonts w:ascii="仿宋_GB2312" w:eastAsia="仿宋_GB2312"/>
                <w:kern w:val="0"/>
                <w:sz w:val="24"/>
                <w:szCs w:val="30"/>
              </w:rPr>
              <w:t>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88"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4</w:t>
            </w:r>
          </w:p>
        </w:tc>
        <w:tc>
          <w:tcPr>
            <w:tcW w:w="1559" w:type="dxa"/>
            <w:vMerge w:val="continue"/>
            <w:vAlign w:val="center"/>
          </w:tcPr>
          <w:p>
            <w:pPr>
              <w:overflowPunct w:val="0"/>
              <w:spacing w:line="360" w:lineRule="auto"/>
              <w:jc w:val="center"/>
              <w:rPr>
                <w:rFonts w:ascii="仿宋_GB2312" w:eastAsia="仿宋_GB2312"/>
                <w:kern w:val="0"/>
                <w:sz w:val="24"/>
                <w:szCs w:val="30"/>
              </w:rPr>
            </w:pPr>
          </w:p>
        </w:tc>
        <w:tc>
          <w:tcPr>
            <w:tcW w:w="1843"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专</w:t>
            </w:r>
            <w:r>
              <w:rPr>
                <w:rFonts w:ascii="仿宋_GB2312" w:eastAsia="仿宋_GB2312"/>
                <w:kern w:val="0"/>
                <w:sz w:val="24"/>
                <w:szCs w:val="30"/>
              </w:rPr>
              <w:t>业课程</w:t>
            </w:r>
          </w:p>
        </w:tc>
        <w:tc>
          <w:tcPr>
            <w:tcW w:w="2409" w:type="dxa"/>
            <w:vAlign w:val="center"/>
          </w:tcPr>
          <w:p>
            <w:pPr>
              <w:overflowPunct w:val="0"/>
              <w:spacing w:line="360" w:lineRule="auto"/>
              <w:jc w:val="center"/>
              <w:rPr>
                <w:rFonts w:ascii="仿宋_GB2312" w:eastAsia="仿宋_GB2312"/>
                <w:kern w:val="0"/>
                <w:sz w:val="24"/>
                <w:szCs w:val="30"/>
              </w:rPr>
            </w:pPr>
            <w:r>
              <w:rPr>
                <w:rFonts w:ascii="仿宋_GB2312" w:eastAsia="仿宋_GB2312"/>
                <w:kern w:val="0"/>
                <w:sz w:val="24"/>
                <w:szCs w:val="30"/>
              </w:rPr>
              <w:t>162</w:t>
            </w:r>
          </w:p>
        </w:tc>
        <w:tc>
          <w:tcPr>
            <w:tcW w:w="2869" w:type="dxa"/>
          </w:tcPr>
          <w:p>
            <w:pPr>
              <w:overflowPunct w:val="0"/>
              <w:spacing w:line="360" w:lineRule="auto"/>
              <w:jc w:val="center"/>
              <w:rPr>
                <w:rFonts w:ascii="仿宋_GB2312" w:eastAsia="仿宋_GB2312"/>
                <w:kern w:val="0"/>
                <w:sz w:val="24"/>
                <w:szCs w:val="30"/>
              </w:rPr>
            </w:pPr>
            <w:r>
              <w:rPr>
                <w:rFonts w:ascii="仿宋_GB2312" w:eastAsia="仿宋_GB2312"/>
                <w:kern w:val="0"/>
                <w:sz w:val="24"/>
                <w:szCs w:val="30"/>
              </w:rPr>
              <w:t>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合计:</w:t>
            </w:r>
          </w:p>
        </w:tc>
        <w:tc>
          <w:tcPr>
            <w:tcW w:w="2409"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3</w:t>
            </w:r>
            <w:r>
              <w:rPr>
                <w:rFonts w:ascii="仿宋_GB2312" w:eastAsia="仿宋_GB2312"/>
                <w:kern w:val="0"/>
                <w:sz w:val="24"/>
                <w:szCs w:val="30"/>
              </w:rPr>
              <w:t>180</w:t>
            </w:r>
          </w:p>
        </w:tc>
        <w:tc>
          <w:tcPr>
            <w:tcW w:w="2869"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理</w:t>
            </w:r>
            <w:r>
              <w:rPr>
                <w:rFonts w:ascii="仿宋_GB2312" w:eastAsia="仿宋_GB2312"/>
                <w:kern w:val="0"/>
                <w:sz w:val="24"/>
                <w:szCs w:val="30"/>
              </w:rPr>
              <w:t>论教学</w:t>
            </w:r>
            <w:r>
              <w:rPr>
                <w:rFonts w:hint="eastAsia" w:ascii="仿宋_GB2312" w:eastAsia="仿宋_GB2312"/>
                <w:kern w:val="0"/>
                <w:sz w:val="24"/>
                <w:szCs w:val="30"/>
              </w:rPr>
              <w:t>比</w:t>
            </w:r>
            <w:r>
              <w:rPr>
                <w:rFonts w:ascii="仿宋_GB2312" w:eastAsia="仿宋_GB2312"/>
                <w:kern w:val="0"/>
                <w:sz w:val="24"/>
                <w:szCs w:val="30"/>
              </w:rPr>
              <w:t>重</w:t>
            </w:r>
          </w:p>
        </w:tc>
        <w:tc>
          <w:tcPr>
            <w:tcW w:w="2409" w:type="dxa"/>
            <w:vAlign w:val="center"/>
          </w:tcPr>
          <w:p>
            <w:pPr>
              <w:overflowPunct w:val="0"/>
              <w:spacing w:line="360" w:lineRule="auto"/>
              <w:jc w:val="center"/>
              <w:rPr>
                <w:rFonts w:ascii="仿宋_GB2312" w:eastAsia="仿宋_GB2312"/>
                <w:kern w:val="0"/>
                <w:sz w:val="24"/>
                <w:szCs w:val="30"/>
              </w:rPr>
            </w:pPr>
            <w:r>
              <w:rPr>
                <w:rFonts w:ascii="仿宋_GB2312" w:eastAsia="仿宋_GB2312"/>
                <w:kern w:val="0"/>
                <w:sz w:val="24"/>
                <w:szCs w:val="30"/>
              </w:rPr>
              <w:t>1334</w:t>
            </w:r>
          </w:p>
        </w:tc>
        <w:tc>
          <w:tcPr>
            <w:tcW w:w="2869" w:type="dxa"/>
            <w:vAlign w:val="center"/>
          </w:tcPr>
          <w:p>
            <w:pPr>
              <w:overflowPunct w:val="0"/>
              <w:spacing w:line="360" w:lineRule="auto"/>
              <w:jc w:val="center"/>
              <w:rPr>
                <w:rFonts w:ascii="仿宋_GB2312" w:eastAsia="仿宋_GB2312"/>
                <w:kern w:val="0"/>
                <w:sz w:val="24"/>
                <w:szCs w:val="30"/>
              </w:rPr>
            </w:pPr>
            <w:r>
              <w:rPr>
                <w:rFonts w:ascii="仿宋_GB2312" w:eastAsia="仿宋_GB2312"/>
                <w:kern w:val="0"/>
                <w:sz w:val="24"/>
                <w:szCs w:val="30"/>
              </w:rPr>
              <w:t>41.95</w:t>
            </w:r>
            <w:r>
              <w:rPr>
                <w:rFonts w:hint="eastAsia" w:ascii="仿宋_GB2312" w:eastAsia="仿宋_GB2312"/>
                <w:kern w:val="0"/>
                <w:sz w:val="24"/>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390" w:type="dxa"/>
            <w:gridSpan w:val="3"/>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实</w:t>
            </w:r>
            <w:r>
              <w:rPr>
                <w:rFonts w:ascii="仿宋_GB2312" w:eastAsia="仿宋_GB2312"/>
                <w:kern w:val="0"/>
                <w:sz w:val="24"/>
                <w:szCs w:val="30"/>
              </w:rPr>
              <w:t>践教学</w:t>
            </w:r>
            <w:r>
              <w:rPr>
                <w:rFonts w:hint="eastAsia" w:ascii="仿宋_GB2312" w:eastAsia="仿宋_GB2312"/>
                <w:kern w:val="0"/>
                <w:sz w:val="24"/>
                <w:szCs w:val="30"/>
              </w:rPr>
              <w:t>比重</w:t>
            </w:r>
          </w:p>
        </w:tc>
        <w:tc>
          <w:tcPr>
            <w:tcW w:w="2409"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1</w:t>
            </w:r>
            <w:r>
              <w:rPr>
                <w:rFonts w:ascii="仿宋_GB2312" w:eastAsia="仿宋_GB2312"/>
                <w:kern w:val="0"/>
                <w:sz w:val="24"/>
                <w:szCs w:val="30"/>
              </w:rPr>
              <w:t>846</w:t>
            </w:r>
          </w:p>
        </w:tc>
        <w:tc>
          <w:tcPr>
            <w:tcW w:w="2869" w:type="dxa"/>
            <w:vAlign w:val="center"/>
          </w:tcPr>
          <w:p>
            <w:pPr>
              <w:overflowPunct w:val="0"/>
              <w:spacing w:line="360" w:lineRule="auto"/>
              <w:jc w:val="center"/>
              <w:rPr>
                <w:rFonts w:ascii="仿宋_GB2312" w:eastAsia="仿宋_GB2312"/>
                <w:kern w:val="0"/>
                <w:sz w:val="24"/>
                <w:szCs w:val="30"/>
              </w:rPr>
            </w:pPr>
            <w:r>
              <w:rPr>
                <w:rFonts w:ascii="仿宋_GB2312" w:eastAsia="仿宋_GB2312"/>
                <w:kern w:val="0"/>
                <w:sz w:val="24"/>
                <w:szCs w:val="30"/>
              </w:rPr>
              <w:t>58.05</w:t>
            </w:r>
            <w:r>
              <w:rPr>
                <w:rFonts w:hint="eastAsia" w:ascii="仿宋_GB2312" w:eastAsia="仿宋_GB2312"/>
                <w:kern w:val="0"/>
                <w:sz w:val="24"/>
                <w:szCs w:val="30"/>
              </w:rPr>
              <w:t>%</w:t>
            </w:r>
          </w:p>
        </w:tc>
      </w:tr>
    </w:tbl>
    <w:p>
      <w:pPr>
        <w:overflowPunct w:val="0"/>
        <w:rPr>
          <w:rFonts w:ascii="黑体" w:hAnsi="黑体" w:eastAsia="黑体"/>
          <w:b/>
          <w:sz w:val="28"/>
          <w:szCs w:val="30"/>
        </w:rPr>
      </w:pPr>
      <w:r>
        <w:rPr>
          <w:rFonts w:hint="eastAsia" w:ascii="黑体" w:hAnsi="黑体" w:eastAsia="黑体"/>
          <w:b/>
          <w:sz w:val="28"/>
          <w:szCs w:val="30"/>
        </w:rPr>
        <w:t>八、实施保障</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1、师资队伍</w:t>
      </w:r>
    </w:p>
    <w:p>
      <w:pPr>
        <w:pStyle w:val="25"/>
        <w:spacing w:line="360" w:lineRule="auto"/>
        <w:ind w:firstLine="480"/>
        <w:jc w:val="left"/>
        <w:rPr>
          <w:rFonts w:hAnsi="宋体"/>
          <w:szCs w:val="24"/>
        </w:rPr>
      </w:pPr>
      <w:bookmarkStart w:id="5" w:name="_Toc307894555"/>
      <w:r>
        <w:rPr>
          <w:rFonts w:hint="eastAsia"/>
          <w:szCs w:val="30"/>
        </w:rPr>
        <w:t>中等职业学校要建设高素质的“双师型”专业教师队伍，要有较高水平的专业骨干教师和学科带头人，并根据教学需要聘请行业企业技术骨干或能工巧匠担任兼职教师。</w:t>
      </w:r>
      <w:bookmarkEnd w:id="5"/>
    </w:p>
    <w:p>
      <w:pPr>
        <w:pStyle w:val="25"/>
        <w:spacing w:line="360" w:lineRule="auto"/>
        <w:ind w:firstLine="480"/>
        <w:jc w:val="left"/>
        <w:rPr>
          <w:szCs w:val="30"/>
        </w:rPr>
      </w:pPr>
      <w:bookmarkStart w:id="6" w:name="_Toc307894556"/>
      <w:r>
        <w:rPr>
          <w:rFonts w:hint="eastAsia"/>
          <w:szCs w:val="30"/>
        </w:rPr>
        <w:t>（1）双师结构</w:t>
      </w:r>
    </w:p>
    <w:p>
      <w:pPr>
        <w:pStyle w:val="25"/>
        <w:spacing w:line="360" w:lineRule="auto"/>
        <w:ind w:firstLine="480"/>
        <w:jc w:val="left"/>
        <w:rPr>
          <w:szCs w:val="30"/>
        </w:rPr>
      </w:pPr>
      <w:r>
        <w:rPr>
          <w:rFonts w:hint="eastAsia"/>
          <w:szCs w:val="30"/>
        </w:rPr>
        <w:t>现有可从事会计电算化专业教学的专业基础课、专业课教师13名，其中双师型教师7名，高级职称7名。</w:t>
      </w:r>
    </w:p>
    <w:p>
      <w:pPr>
        <w:pStyle w:val="25"/>
        <w:spacing w:line="360" w:lineRule="auto"/>
        <w:ind w:firstLine="480"/>
        <w:jc w:val="left"/>
        <w:rPr>
          <w:szCs w:val="30"/>
        </w:rPr>
      </w:pPr>
      <w:r>
        <w:rPr>
          <w:rFonts w:hint="eastAsia"/>
          <w:szCs w:val="30"/>
        </w:rPr>
        <w:t>（2）专业认证证书</w:t>
      </w:r>
    </w:p>
    <w:p>
      <w:pPr>
        <w:pStyle w:val="25"/>
        <w:spacing w:line="360" w:lineRule="auto"/>
        <w:ind w:firstLine="480"/>
        <w:jc w:val="left"/>
        <w:rPr>
          <w:szCs w:val="30"/>
        </w:rPr>
      </w:pPr>
      <w:r>
        <w:rPr>
          <w:rFonts w:hint="eastAsia"/>
          <w:szCs w:val="30"/>
        </w:rPr>
        <w:t>我校专业教师均具有多年工作、实战经验，并获得CNCIW,Autodesk等行业相关讲师认证及教师任职资格证书。</w:t>
      </w:r>
    </w:p>
    <w:bookmarkEnd w:id="6"/>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2、教学设施</w:t>
      </w:r>
    </w:p>
    <w:p>
      <w:pPr>
        <w:pStyle w:val="25"/>
        <w:spacing w:line="360" w:lineRule="auto"/>
        <w:ind w:firstLine="480"/>
        <w:jc w:val="left"/>
        <w:rPr>
          <w:szCs w:val="30"/>
        </w:rPr>
      </w:pPr>
      <w:r>
        <w:rPr>
          <w:rFonts w:hint="eastAsia"/>
          <w:szCs w:val="30"/>
        </w:rPr>
        <w:t>本专业应配备校内实训实习室和校外实训基地。</w:t>
      </w:r>
    </w:p>
    <w:p>
      <w:pPr>
        <w:spacing w:line="360" w:lineRule="auto"/>
        <w:ind w:firstLine="480" w:firstLineChars="200"/>
        <w:rPr>
          <w:rFonts w:ascii="仿宋_GB2312" w:eastAsia="仿宋_GB2312"/>
          <w:sz w:val="24"/>
          <w:szCs w:val="30"/>
        </w:rPr>
      </w:pPr>
      <w:bookmarkStart w:id="7" w:name="_Toc307894559"/>
      <w:r>
        <w:rPr>
          <w:rFonts w:hint="eastAsia" w:ascii="仿宋_GB2312" w:eastAsia="仿宋_GB2312"/>
          <w:sz w:val="24"/>
          <w:szCs w:val="30"/>
        </w:rPr>
        <w:t>校内实训实习建有会计信息化实训、会计手工帐实训、网络营</w:t>
      </w:r>
      <w:r>
        <w:rPr>
          <w:rFonts w:ascii="仿宋_GB2312" w:eastAsia="仿宋_GB2312"/>
          <w:sz w:val="24"/>
          <w:szCs w:val="30"/>
        </w:rPr>
        <w:t>销</w:t>
      </w:r>
      <w:r>
        <w:rPr>
          <w:rFonts w:hint="eastAsia" w:ascii="仿宋_GB2312" w:eastAsia="仿宋_GB2312"/>
          <w:sz w:val="24"/>
          <w:szCs w:val="30"/>
        </w:rPr>
        <w:t>综合实训、视觉营销综合实训等实训室，主要设施设备及数量见下表。各实训室在室内场景布置上，力求仿真职业环境，为本</w:t>
      </w:r>
      <w:r>
        <w:rPr>
          <w:rFonts w:ascii="仿宋_GB2312" w:eastAsia="仿宋_GB2312"/>
          <w:sz w:val="24"/>
          <w:szCs w:val="30"/>
        </w:rPr>
        <w:t>专业</w:t>
      </w:r>
      <w:r>
        <w:rPr>
          <w:rFonts w:hint="eastAsia" w:ascii="仿宋_GB2312" w:eastAsia="仿宋_GB2312"/>
          <w:sz w:val="24"/>
          <w:szCs w:val="30"/>
        </w:rPr>
        <w:t>综合岗位实践准备实习内容，能完成教学计划所规定的所有实训、实习项目，能满足结合专业教学开展职业资格鉴定、考证和社会服务的需要。</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（1）会计信息化实训室</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根据专业教学需要，学校投入100万元，现已建成建立1个会计电算化实训室，并且配备了相应的会计软件。</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（2）ERP 企业模拟经营沙盘实训室。</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以45座为例。按每4人一组配备，供配备15组，能供45个学生同时使用。配备相应的实训设备和资料。</w:t>
      </w:r>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68"/>
        <w:gridCol w:w="3250"/>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overflowPunct w:val="0"/>
              <w:spacing w:line="360" w:lineRule="auto"/>
              <w:jc w:val="center"/>
              <w:rPr>
                <w:rFonts w:ascii="仿宋_GB2312" w:eastAsia="仿宋_GB2312"/>
                <w:b/>
                <w:kern w:val="0"/>
                <w:sz w:val="24"/>
                <w:szCs w:val="30"/>
              </w:rPr>
            </w:pPr>
            <w:r>
              <w:rPr>
                <w:rFonts w:hint="eastAsia" w:ascii="仿宋_GB2312" w:eastAsia="仿宋_GB2312"/>
                <w:b/>
                <w:kern w:val="0"/>
                <w:sz w:val="24"/>
                <w:szCs w:val="30"/>
              </w:rPr>
              <w:t>序</w:t>
            </w:r>
            <w:r>
              <w:rPr>
                <w:rFonts w:ascii="仿宋_GB2312" w:eastAsia="仿宋_GB2312"/>
                <w:b/>
                <w:kern w:val="0"/>
                <w:sz w:val="24"/>
                <w:szCs w:val="30"/>
              </w:rPr>
              <w:t>号</w:t>
            </w:r>
          </w:p>
        </w:tc>
        <w:tc>
          <w:tcPr>
            <w:tcW w:w="2268" w:type="dxa"/>
            <w:vMerge w:val="restart"/>
            <w:vAlign w:val="center"/>
          </w:tcPr>
          <w:p>
            <w:pPr>
              <w:overflowPunct w:val="0"/>
              <w:spacing w:line="360" w:lineRule="auto"/>
              <w:jc w:val="center"/>
              <w:rPr>
                <w:rFonts w:ascii="仿宋_GB2312" w:eastAsia="仿宋_GB2312"/>
                <w:b/>
                <w:kern w:val="0"/>
                <w:sz w:val="24"/>
                <w:szCs w:val="30"/>
              </w:rPr>
            </w:pPr>
            <w:r>
              <w:rPr>
                <w:rFonts w:hint="eastAsia" w:ascii="仿宋_GB2312" w:eastAsia="仿宋_GB2312"/>
                <w:b/>
                <w:kern w:val="0"/>
                <w:sz w:val="24"/>
                <w:szCs w:val="30"/>
              </w:rPr>
              <w:t>实</w:t>
            </w:r>
            <w:r>
              <w:rPr>
                <w:rFonts w:ascii="仿宋_GB2312" w:eastAsia="仿宋_GB2312"/>
                <w:b/>
                <w:kern w:val="0"/>
                <w:sz w:val="24"/>
                <w:szCs w:val="30"/>
              </w:rPr>
              <w:t>训室名称</w:t>
            </w:r>
          </w:p>
        </w:tc>
        <w:tc>
          <w:tcPr>
            <w:tcW w:w="5324" w:type="dxa"/>
            <w:gridSpan w:val="2"/>
            <w:vAlign w:val="center"/>
          </w:tcPr>
          <w:p>
            <w:pPr>
              <w:overflowPunct w:val="0"/>
              <w:spacing w:line="360" w:lineRule="auto"/>
              <w:jc w:val="center"/>
              <w:rPr>
                <w:rFonts w:ascii="仿宋_GB2312" w:eastAsia="仿宋_GB2312"/>
                <w:b/>
                <w:kern w:val="0"/>
                <w:sz w:val="24"/>
                <w:szCs w:val="30"/>
              </w:rPr>
            </w:pPr>
            <w:r>
              <w:rPr>
                <w:rFonts w:hint="eastAsia" w:ascii="仿宋_GB2312" w:eastAsia="仿宋_GB2312"/>
                <w:b/>
                <w:kern w:val="0"/>
                <w:sz w:val="24"/>
                <w:szCs w:val="30"/>
              </w:rPr>
              <w:t>主要</w:t>
            </w:r>
            <w:r>
              <w:rPr>
                <w:rFonts w:ascii="仿宋_GB2312" w:eastAsia="仿宋_GB2312"/>
                <w:b/>
                <w:kern w:val="0"/>
                <w:sz w:val="24"/>
                <w:szCs w:val="30"/>
              </w:rPr>
              <w:t>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704" w:type="dxa"/>
            <w:vMerge w:val="continue"/>
            <w:vAlign w:val="center"/>
          </w:tcPr>
          <w:p>
            <w:pPr>
              <w:overflowPunct w:val="0"/>
              <w:spacing w:line="360" w:lineRule="auto"/>
              <w:jc w:val="center"/>
              <w:rPr>
                <w:rFonts w:ascii="仿宋_GB2312" w:eastAsia="仿宋_GB2312"/>
                <w:b/>
                <w:kern w:val="0"/>
                <w:sz w:val="24"/>
                <w:szCs w:val="30"/>
              </w:rPr>
            </w:pPr>
          </w:p>
        </w:tc>
        <w:tc>
          <w:tcPr>
            <w:tcW w:w="2268" w:type="dxa"/>
            <w:vMerge w:val="continue"/>
            <w:vAlign w:val="center"/>
          </w:tcPr>
          <w:p>
            <w:pPr>
              <w:overflowPunct w:val="0"/>
              <w:spacing w:line="360" w:lineRule="auto"/>
              <w:jc w:val="center"/>
              <w:rPr>
                <w:rFonts w:ascii="仿宋_GB2312" w:eastAsia="仿宋_GB2312"/>
                <w:b/>
                <w:kern w:val="0"/>
                <w:sz w:val="24"/>
                <w:szCs w:val="30"/>
              </w:rPr>
            </w:pPr>
          </w:p>
        </w:tc>
        <w:tc>
          <w:tcPr>
            <w:tcW w:w="3250" w:type="dxa"/>
            <w:vAlign w:val="center"/>
          </w:tcPr>
          <w:p>
            <w:pPr>
              <w:overflowPunct w:val="0"/>
              <w:spacing w:line="360" w:lineRule="auto"/>
              <w:jc w:val="center"/>
              <w:rPr>
                <w:rFonts w:ascii="仿宋_GB2312" w:eastAsia="仿宋_GB2312"/>
                <w:b/>
                <w:kern w:val="0"/>
                <w:sz w:val="24"/>
                <w:szCs w:val="30"/>
              </w:rPr>
            </w:pPr>
            <w:r>
              <w:rPr>
                <w:rFonts w:hint="eastAsia" w:ascii="仿宋_GB2312" w:eastAsia="仿宋_GB2312"/>
                <w:b/>
                <w:kern w:val="0"/>
                <w:sz w:val="24"/>
                <w:szCs w:val="30"/>
              </w:rPr>
              <w:t>名</w:t>
            </w:r>
            <w:r>
              <w:rPr>
                <w:rFonts w:ascii="仿宋_GB2312" w:eastAsia="仿宋_GB2312"/>
                <w:b/>
                <w:kern w:val="0"/>
                <w:sz w:val="24"/>
                <w:szCs w:val="30"/>
              </w:rPr>
              <w:t>称</w:t>
            </w:r>
          </w:p>
        </w:tc>
        <w:tc>
          <w:tcPr>
            <w:tcW w:w="2074" w:type="dxa"/>
            <w:vAlign w:val="center"/>
          </w:tcPr>
          <w:p>
            <w:pPr>
              <w:overflowPunct w:val="0"/>
              <w:spacing w:line="360" w:lineRule="auto"/>
              <w:jc w:val="center"/>
              <w:rPr>
                <w:rFonts w:ascii="仿宋_GB2312" w:eastAsia="仿宋_GB2312"/>
                <w:b/>
                <w:kern w:val="0"/>
                <w:sz w:val="24"/>
                <w:szCs w:val="30"/>
              </w:rPr>
            </w:pPr>
            <w:r>
              <w:rPr>
                <w:rFonts w:hint="eastAsia" w:ascii="仿宋_GB2312" w:eastAsia="仿宋_GB2312"/>
                <w:b/>
                <w:kern w:val="0"/>
                <w:sz w:val="24"/>
                <w:szCs w:val="30"/>
              </w:rPr>
              <w:t>数</w:t>
            </w:r>
            <w:r>
              <w:rPr>
                <w:rFonts w:ascii="仿宋_GB2312" w:eastAsia="仿宋_GB2312"/>
                <w:b/>
                <w:kern w:val="0"/>
                <w:sz w:val="24"/>
                <w:szCs w:val="30"/>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1</w:t>
            </w:r>
          </w:p>
        </w:tc>
        <w:tc>
          <w:tcPr>
            <w:tcW w:w="2268" w:type="dxa"/>
            <w:vMerge w:val="restart"/>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会计电算化实训室</w:t>
            </w:r>
          </w:p>
        </w:tc>
        <w:tc>
          <w:tcPr>
            <w:tcW w:w="3250"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会计电算化软件</w:t>
            </w:r>
          </w:p>
        </w:tc>
        <w:tc>
          <w:tcPr>
            <w:tcW w:w="2074"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overflowPunct w:val="0"/>
              <w:spacing w:line="360" w:lineRule="auto"/>
              <w:jc w:val="center"/>
              <w:rPr>
                <w:rFonts w:ascii="仿宋_GB2312" w:eastAsia="仿宋_GB2312"/>
                <w:kern w:val="0"/>
                <w:sz w:val="24"/>
                <w:szCs w:val="30"/>
              </w:rPr>
            </w:pPr>
          </w:p>
        </w:tc>
        <w:tc>
          <w:tcPr>
            <w:tcW w:w="2268" w:type="dxa"/>
            <w:vMerge w:val="continue"/>
            <w:vAlign w:val="center"/>
          </w:tcPr>
          <w:p>
            <w:pPr>
              <w:overflowPunct w:val="0"/>
              <w:spacing w:line="360" w:lineRule="auto"/>
              <w:jc w:val="center"/>
              <w:rPr>
                <w:rFonts w:ascii="仿宋_GB2312" w:eastAsia="仿宋_GB2312"/>
                <w:kern w:val="0"/>
                <w:sz w:val="24"/>
                <w:szCs w:val="30"/>
              </w:rPr>
            </w:pPr>
          </w:p>
        </w:tc>
        <w:tc>
          <w:tcPr>
            <w:tcW w:w="3250"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电脑</w:t>
            </w:r>
          </w:p>
        </w:tc>
        <w:tc>
          <w:tcPr>
            <w:tcW w:w="2074"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overflowPunct w:val="0"/>
              <w:spacing w:line="360" w:lineRule="auto"/>
              <w:jc w:val="center"/>
              <w:rPr>
                <w:rFonts w:ascii="仿宋_GB2312" w:eastAsia="仿宋_GB2312"/>
                <w:kern w:val="0"/>
                <w:sz w:val="24"/>
                <w:szCs w:val="30"/>
              </w:rPr>
            </w:pPr>
          </w:p>
        </w:tc>
        <w:tc>
          <w:tcPr>
            <w:tcW w:w="2268" w:type="dxa"/>
            <w:vMerge w:val="continue"/>
            <w:vAlign w:val="center"/>
          </w:tcPr>
          <w:p>
            <w:pPr>
              <w:overflowPunct w:val="0"/>
              <w:spacing w:line="360" w:lineRule="auto"/>
              <w:jc w:val="center"/>
              <w:rPr>
                <w:rFonts w:ascii="仿宋_GB2312" w:eastAsia="仿宋_GB2312"/>
                <w:kern w:val="0"/>
                <w:sz w:val="24"/>
                <w:szCs w:val="30"/>
              </w:rPr>
            </w:pPr>
          </w:p>
        </w:tc>
        <w:tc>
          <w:tcPr>
            <w:tcW w:w="3250"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多媒体教学设备</w:t>
            </w:r>
          </w:p>
        </w:tc>
        <w:tc>
          <w:tcPr>
            <w:tcW w:w="2074"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overflowPunct w:val="0"/>
              <w:spacing w:line="360" w:lineRule="auto"/>
              <w:jc w:val="center"/>
              <w:rPr>
                <w:rFonts w:ascii="仿宋_GB2312" w:eastAsia="仿宋_GB2312"/>
                <w:kern w:val="0"/>
                <w:sz w:val="24"/>
                <w:szCs w:val="30"/>
              </w:rPr>
            </w:pPr>
          </w:p>
        </w:tc>
        <w:tc>
          <w:tcPr>
            <w:tcW w:w="2268" w:type="dxa"/>
            <w:vMerge w:val="continue"/>
            <w:vAlign w:val="center"/>
          </w:tcPr>
          <w:p>
            <w:pPr>
              <w:overflowPunct w:val="0"/>
              <w:spacing w:line="360" w:lineRule="auto"/>
              <w:jc w:val="center"/>
              <w:rPr>
                <w:rFonts w:ascii="仿宋_GB2312" w:eastAsia="仿宋_GB2312"/>
                <w:kern w:val="0"/>
                <w:sz w:val="24"/>
                <w:szCs w:val="30"/>
              </w:rPr>
            </w:pPr>
          </w:p>
        </w:tc>
        <w:tc>
          <w:tcPr>
            <w:tcW w:w="3250"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服务器及网络设备</w:t>
            </w:r>
          </w:p>
        </w:tc>
        <w:tc>
          <w:tcPr>
            <w:tcW w:w="2074"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overflowPunct w:val="0"/>
              <w:spacing w:line="360" w:lineRule="auto"/>
              <w:jc w:val="center"/>
              <w:rPr>
                <w:rFonts w:ascii="仿宋_GB2312" w:eastAsia="仿宋_GB2312"/>
                <w:kern w:val="0"/>
                <w:sz w:val="24"/>
                <w:szCs w:val="30"/>
              </w:rPr>
            </w:pPr>
          </w:p>
        </w:tc>
        <w:tc>
          <w:tcPr>
            <w:tcW w:w="2268" w:type="dxa"/>
            <w:vMerge w:val="continue"/>
            <w:vAlign w:val="center"/>
          </w:tcPr>
          <w:p>
            <w:pPr>
              <w:overflowPunct w:val="0"/>
              <w:spacing w:line="360" w:lineRule="auto"/>
              <w:jc w:val="center"/>
              <w:rPr>
                <w:rFonts w:ascii="仿宋_GB2312" w:eastAsia="仿宋_GB2312"/>
                <w:kern w:val="0"/>
                <w:sz w:val="24"/>
                <w:szCs w:val="30"/>
              </w:rPr>
            </w:pPr>
          </w:p>
        </w:tc>
        <w:tc>
          <w:tcPr>
            <w:tcW w:w="3250"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工作台、椅</w:t>
            </w:r>
          </w:p>
        </w:tc>
        <w:tc>
          <w:tcPr>
            <w:tcW w:w="2074"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overflowPunct w:val="0"/>
              <w:spacing w:line="360" w:lineRule="auto"/>
              <w:jc w:val="center"/>
              <w:rPr>
                <w:rFonts w:ascii="仿宋_GB2312" w:eastAsia="仿宋_GB2312"/>
                <w:kern w:val="0"/>
                <w:sz w:val="24"/>
                <w:szCs w:val="30"/>
              </w:rPr>
            </w:pPr>
          </w:p>
        </w:tc>
        <w:tc>
          <w:tcPr>
            <w:tcW w:w="2268" w:type="dxa"/>
            <w:vMerge w:val="continue"/>
            <w:vAlign w:val="center"/>
          </w:tcPr>
          <w:p>
            <w:pPr>
              <w:overflowPunct w:val="0"/>
              <w:spacing w:line="360" w:lineRule="auto"/>
              <w:jc w:val="center"/>
              <w:rPr>
                <w:rFonts w:ascii="仿宋_GB2312" w:eastAsia="仿宋_GB2312"/>
                <w:kern w:val="0"/>
                <w:sz w:val="24"/>
                <w:szCs w:val="30"/>
              </w:rPr>
            </w:pPr>
          </w:p>
        </w:tc>
        <w:tc>
          <w:tcPr>
            <w:tcW w:w="3250"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会计信息化实训资料</w:t>
            </w:r>
          </w:p>
        </w:tc>
        <w:tc>
          <w:tcPr>
            <w:tcW w:w="2074"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若干套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2</w:t>
            </w:r>
          </w:p>
        </w:tc>
        <w:tc>
          <w:tcPr>
            <w:tcW w:w="2268" w:type="dxa"/>
            <w:vMerge w:val="restart"/>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ERP 企业模拟经营沙盘实训室</w:t>
            </w:r>
          </w:p>
        </w:tc>
        <w:tc>
          <w:tcPr>
            <w:tcW w:w="3250"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电脑</w:t>
            </w:r>
          </w:p>
        </w:tc>
        <w:tc>
          <w:tcPr>
            <w:tcW w:w="2074" w:type="dxa"/>
            <w:vAlign w:val="center"/>
          </w:tcPr>
          <w:p>
            <w:pPr>
              <w:overflowPunct w:val="0"/>
              <w:spacing w:line="360" w:lineRule="auto"/>
              <w:jc w:val="center"/>
              <w:rPr>
                <w:rFonts w:ascii="仿宋_GB2312" w:eastAsia="仿宋_GB2312"/>
                <w:kern w:val="0"/>
                <w:sz w:val="24"/>
                <w:szCs w:val="30"/>
              </w:rPr>
            </w:pPr>
            <w:r>
              <w:rPr>
                <w:rFonts w:ascii="仿宋_GB2312" w:eastAsia="仿宋_GB2312"/>
                <w:kern w:val="0"/>
                <w:sz w:val="24"/>
                <w:szCs w:val="30"/>
              </w:rPr>
              <w:t>4</w:t>
            </w:r>
            <w:r>
              <w:rPr>
                <w:rFonts w:hint="eastAsia" w:ascii="仿宋_GB2312" w:eastAsia="仿宋_GB2312"/>
                <w:kern w:val="0"/>
                <w:sz w:val="24"/>
                <w:szCs w:val="30"/>
              </w:rPr>
              <w:t>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overflowPunct w:val="0"/>
              <w:spacing w:line="360" w:lineRule="auto"/>
              <w:jc w:val="center"/>
              <w:rPr>
                <w:rFonts w:ascii="仿宋_GB2312" w:eastAsia="仿宋_GB2312"/>
                <w:kern w:val="0"/>
                <w:sz w:val="24"/>
                <w:szCs w:val="30"/>
              </w:rPr>
            </w:pPr>
          </w:p>
        </w:tc>
        <w:tc>
          <w:tcPr>
            <w:tcW w:w="2268" w:type="dxa"/>
            <w:vMerge w:val="continue"/>
            <w:vAlign w:val="center"/>
          </w:tcPr>
          <w:p>
            <w:pPr>
              <w:overflowPunct w:val="0"/>
              <w:spacing w:line="360" w:lineRule="auto"/>
              <w:jc w:val="center"/>
              <w:rPr>
                <w:rFonts w:ascii="仿宋_GB2312" w:eastAsia="仿宋_GB2312"/>
                <w:kern w:val="0"/>
                <w:sz w:val="24"/>
                <w:szCs w:val="30"/>
              </w:rPr>
            </w:pPr>
          </w:p>
        </w:tc>
        <w:tc>
          <w:tcPr>
            <w:tcW w:w="3250"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多媒体教学设备</w:t>
            </w:r>
          </w:p>
        </w:tc>
        <w:tc>
          <w:tcPr>
            <w:tcW w:w="2074"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overflowPunct w:val="0"/>
              <w:spacing w:line="360" w:lineRule="auto"/>
              <w:jc w:val="center"/>
              <w:rPr>
                <w:rFonts w:ascii="仿宋_GB2312" w:eastAsia="仿宋_GB2312"/>
                <w:kern w:val="0"/>
                <w:sz w:val="24"/>
                <w:szCs w:val="30"/>
              </w:rPr>
            </w:pPr>
          </w:p>
        </w:tc>
        <w:tc>
          <w:tcPr>
            <w:tcW w:w="2268" w:type="dxa"/>
            <w:vMerge w:val="continue"/>
            <w:vAlign w:val="center"/>
          </w:tcPr>
          <w:p>
            <w:pPr>
              <w:overflowPunct w:val="0"/>
              <w:spacing w:line="360" w:lineRule="auto"/>
              <w:jc w:val="center"/>
              <w:rPr>
                <w:rFonts w:ascii="仿宋_GB2312" w:eastAsia="仿宋_GB2312"/>
                <w:kern w:val="0"/>
                <w:sz w:val="24"/>
                <w:szCs w:val="30"/>
              </w:rPr>
            </w:pPr>
          </w:p>
        </w:tc>
        <w:tc>
          <w:tcPr>
            <w:tcW w:w="3250"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企业模拟经营电子沙盘</w:t>
            </w:r>
          </w:p>
        </w:tc>
        <w:tc>
          <w:tcPr>
            <w:tcW w:w="2074"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overflowPunct w:val="0"/>
              <w:spacing w:line="360" w:lineRule="auto"/>
              <w:jc w:val="center"/>
              <w:rPr>
                <w:rFonts w:ascii="仿宋_GB2312" w:eastAsia="仿宋_GB2312"/>
                <w:kern w:val="0"/>
                <w:sz w:val="24"/>
                <w:szCs w:val="30"/>
              </w:rPr>
            </w:pPr>
          </w:p>
        </w:tc>
        <w:tc>
          <w:tcPr>
            <w:tcW w:w="2268" w:type="dxa"/>
            <w:vMerge w:val="continue"/>
            <w:vAlign w:val="center"/>
          </w:tcPr>
          <w:p>
            <w:pPr>
              <w:overflowPunct w:val="0"/>
              <w:spacing w:line="360" w:lineRule="auto"/>
              <w:jc w:val="center"/>
              <w:rPr>
                <w:rFonts w:ascii="仿宋_GB2312" w:eastAsia="仿宋_GB2312"/>
                <w:kern w:val="0"/>
                <w:sz w:val="24"/>
                <w:szCs w:val="30"/>
              </w:rPr>
            </w:pPr>
          </w:p>
        </w:tc>
        <w:tc>
          <w:tcPr>
            <w:tcW w:w="3250"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企业模拟经营物理沙盘</w:t>
            </w:r>
          </w:p>
        </w:tc>
        <w:tc>
          <w:tcPr>
            <w:tcW w:w="2074" w:type="dxa"/>
            <w:vAlign w:val="center"/>
          </w:tcPr>
          <w:p>
            <w:pPr>
              <w:overflowPunct w:val="0"/>
              <w:spacing w:line="360" w:lineRule="auto"/>
              <w:jc w:val="center"/>
              <w:rPr>
                <w:rFonts w:ascii="仿宋_GB2312" w:eastAsia="仿宋_GB2312"/>
                <w:kern w:val="0"/>
                <w:sz w:val="24"/>
                <w:szCs w:val="30"/>
              </w:rPr>
            </w:pPr>
            <w:r>
              <w:rPr>
                <w:rFonts w:ascii="仿宋_GB2312" w:eastAsia="仿宋_GB2312"/>
                <w:kern w:val="0"/>
                <w:sz w:val="24"/>
                <w:szCs w:val="30"/>
              </w:rPr>
              <w:t>4</w:t>
            </w:r>
            <w:r>
              <w:rPr>
                <w:rFonts w:hint="eastAsia" w:ascii="仿宋_GB2312" w:eastAsia="仿宋_GB2312"/>
                <w:kern w:val="0"/>
                <w:sz w:val="24"/>
                <w:szCs w:val="30"/>
              </w:rPr>
              <w:t>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overflowPunct w:val="0"/>
              <w:spacing w:line="360" w:lineRule="auto"/>
              <w:jc w:val="center"/>
              <w:rPr>
                <w:rFonts w:ascii="仿宋_GB2312" w:eastAsia="仿宋_GB2312"/>
                <w:kern w:val="0"/>
                <w:sz w:val="24"/>
                <w:szCs w:val="30"/>
              </w:rPr>
            </w:pPr>
          </w:p>
        </w:tc>
        <w:tc>
          <w:tcPr>
            <w:tcW w:w="2268" w:type="dxa"/>
            <w:vMerge w:val="continue"/>
            <w:vAlign w:val="center"/>
          </w:tcPr>
          <w:p>
            <w:pPr>
              <w:overflowPunct w:val="0"/>
              <w:spacing w:line="360" w:lineRule="auto"/>
              <w:jc w:val="center"/>
              <w:rPr>
                <w:rFonts w:ascii="仿宋_GB2312" w:eastAsia="仿宋_GB2312"/>
                <w:kern w:val="0"/>
                <w:sz w:val="24"/>
                <w:szCs w:val="30"/>
              </w:rPr>
            </w:pPr>
          </w:p>
        </w:tc>
        <w:tc>
          <w:tcPr>
            <w:tcW w:w="3250"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桌、椅</w:t>
            </w:r>
          </w:p>
        </w:tc>
        <w:tc>
          <w:tcPr>
            <w:tcW w:w="2074" w:type="dxa"/>
            <w:vAlign w:val="center"/>
          </w:tcPr>
          <w:p>
            <w:pPr>
              <w:overflowPunct w:val="0"/>
              <w:spacing w:line="360" w:lineRule="auto"/>
              <w:jc w:val="center"/>
              <w:rPr>
                <w:rFonts w:ascii="仿宋_GB2312" w:eastAsia="仿宋_GB2312"/>
                <w:kern w:val="0"/>
                <w:sz w:val="24"/>
                <w:szCs w:val="30"/>
              </w:rPr>
            </w:pPr>
            <w:r>
              <w:rPr>
                <w:rFonts w:ascii="仿宋_GB2312" w:eastAsia="仿宋_GB2312"/>
                <w:kern w:val="0"/>
                <w:sz w:val="24"/>
                <w:szCs w:val="30"/>
              </w:rPr>
              <w:t>4</w:t>
            </w:r>
            <w:r>
              <w:rPr>
                <w:rFonts w:hint="eastAsia" w:ascii="仿宋_GB2312" w:eastAsia="仿宋_GB2312"/>
                <w:kern w:val="0"/>
                <w:sz w:val="24"/>
                <w:szCs w:val="30"/>
              </w:rPr>
              <w:t>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vAlign w:val="center"/>
          </w:tcPr>
          <w:p>
            <w:pPr>
              <w:overflowPunct w:val="0"/>
              <w:spacing w:line="360" w:lineRule="auto"/>
              <w:jc w:val="center"/>
              <w:rPr>
                <w:rFonts w:ascii="仿宋_GB2312" w:eastAsia="仿宋_GB2312"/>
                <w:kern w:val="0"/>
                <w:sz w:val="24"/>
                <w:szCs w:val="30"/>
              </w:rPr>
            </w:pPr>
          </w:p>
        </w:tc>
        <w:tc>
          <w:tcPr>
            <w:tcW w:w="2268" w:type="dxa"/>
            <w:vMerge w:val="continue"/>
            <w:vAlign w:val="center"/>
          </w:tcPr>
          <w:p>
            <w:pPr>
              <w:overflowPunct w:val="0"/>
              <w:spacing w:line="360" w:lineRule="auto"/>
              <w:jc w:val="center"/>
              <w:rPr>
                <w:rFonts w:ascii="仿宋_GB2312" w:eastAsia="仿宋_GB2312"/>
                <w:kern w:val="0"/>
                <w:sz w:val="24"/>
                <w:szCs w:val="30"/>
              </w:rPr>
            </w:pPr>
          </w:p>
        </w:tc>
        <w:tc>
          <w:tcPr>
            <w:tcW w:w="3250"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企业模拟经营实训资料</w:t>
            </w:r>
          </w:p>
        </w:tc>
        <w:tc>
          <w:tcPr>
            <w:tcW w:w="2074" w:type="dxa"/>
            <w:vAlign w:val="center"/>
          </w:tcPr>
          <w:p>
            <w:pPr>
              <w:overflowPunct w:val="0"/>
              <w:spacing w:line="360" w:lineRule="auto"/>
              <w:jc w:val="center"/>
              <w:rPr>
                <w:rFonts w:ascii="仿宋_GB2312" w:eastAsia="仿宋_GB2312"/>
                <w:kern w:val="0"/>
                <w:sz w:val="24"/>
                <w:szCs w:val="30"/>
              </w:rPr>
            </w:pPr>
            <w:r>
              <w:rPr>
                <w:rFonts w:hint="eastAsia" w:ascii="仿宋_GB2312" w:eastAsia="仿宋_GB2312"/>
                <w:kern w:val="0"/>
                <w:sz w:val="24"/>
                <w:szCs w:val="30"/>
              </w:rPr>
              <w:t>2套</w:t>
            </w:r>
          </w:p>
        </w:tc>
      </w:tr>
    </w:tbl>
    <w:p>
      <w:pPr>
        <w:pStyle w:val="25"/>
        <w:spacing w:line="360" w:lineRule="auto"/>
        <w:ind w:firstLine="480"/>
        <w:jc w:val="left"/>
        <w:rPr>
          <w:szCs w:val="30"/>
        </w:rPr>
      </w:pPr>
      <w:r>
        <w:rPr>
          <w:rFonts w:hint="eastAsia"/>
          <w:szCs w:val="30"/>
        </w:rPr>
        <w:t>本专业综合实训以校内实训基地为主。学校根据本专业认知教学需要，依托校外企业财务部门、会计服务机构等建立若干专业认知实习和会计顶岗实习基地。</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3、教学资源</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1）所有教材均是国家或行业规划教材或校本教材。学校</w:t>
      </w:r>
      <w:r>
        <w:rPr>
          <w:rFonts w:ascii="仿宋_GB2312" w:eastAsia="仿宋_GB2312"/>
          <w:sz w:val="24"/>
          <w:szCs w:val="30"/>
        </w:rPr>
        <w:t>也</w:t>
      </w:r>
      <w:r>
        <w:rPr>
          <w:rFonts w:hint="eastAsia" w:ascii="仿宋_GB2312" w:eastAsia="仿宋_GB2312"/>
          <w:sz w:val="24"/>
          <w:szCs w:val="30"/>
        </w:rPr>
        <w:t>重视教材建设，鼓励教师积极参加职业院校系列规划教材编写和适合本专业具有特色的校内教材的编写工作。所有实验、课程综合练习、实习与实训项目都有相应的较为完善的指导书，能够满足实践教学需要，在无统编教材或统编教材不合适的情况下，采取自编教材（或补充讲义）。增加教科研经费，教研、科研再上一个新台阶，并增强产学研的结合，校企双方技术人员开展互兼互聘的技术合作等。</w:t>
      </w:r>
    </w:p>
    <w:tbl>
      <w:tblPr>
        <w:tblStyle w:val="11"/>
        <w:tblW w:w="8931" w:type="dxa"/>
        <w:jc w:val="center"/>
        <w:tblLayout w:type="fixed"/>
        <w:tblCellMar>
          <w:top w:w="0" w:type="dxa"/>
          <w:left w:w="108" w:type="dxa"/>
          <w:bottom w:w="0" w:type="dxa"/>
          <w:right w:w="108" w:type="dxa"/>
        </w:tblCellMar>
      </w:tblPr>
      <w:tblGrid>
        <w:gridCol w:w="710"/>
        <w:gridCol w:w="2976"/>
        <w:gridCol w:w="2121"/>
        <w:gridCol w:w="2274"/>
        <w:gridCol w:w="850"/>
      </w:tblGrid>
      <w:tr>
        <w:tblPrEx>
          <w:tblCellMar>
            <w:top w:w="0" w:type="dxa"/>
            <w:left w:w="108" w:type="dxa"/>
            <w:bottom w:w="0" w:type="dxa"/>
            <w:right w:w="108" w:type="dxa"/>
          </w:tblCellMar>
        </w:tblPrEx>
        <w:trPr>
          <w:trHeight w:val="286" w:hRule="atLeast"/>
          <w:tblHeader/>
          <w:jc w:val="center"/>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spacing w:line="360" w:lineRule="auto"/>
              <w:ind w:firstLine="0" w:firstLineChars="0"/>
              <w:jc w:val="center"/>
              <w:rPr>
                <w:rFonts w:hAnsi="宋体"/>
                <w:b/>
              </w:rPr>
            </w:pPr>
            <w:r>
              <w:rPr>
                <w:rFonts w:hint="eastAsia" w:hAnsi="宋体"/>
                <w:b/>
              </w:rPr>
              <w:t>序号</w:t>
            </w:r>
          </w:p>
        </w:tc>
        <w:tc>
          <w:tcPr>
            <w:tcW w:w="2976" w:type="dxa"/>
            <w:tcBorders>
              <w:top w:val="single" w:color="auto" w:sz="4" w:space="0"/>
              <w:left w:val="nil"/>
              <w:bottom w:val="single" w:color="auto" w:sz="4" w:space="0"/>
              <w:right w:val="single" w:color="auto" w:sz="4" w:space="0"/>
            </w:tcBorders>
            <w:shd w:val="clear" w:color="auto" w:fill="auto"/>
            <w:vAlign w:val="center"/>
          </w:tcPr>
          <w:p>
            <w:pPr>
              <w:pStyle w:val="25"/>
              <w:spacing w:line="360" w:lineRule="auto"/>
              <w:ind w:firstLine="0" w:firstLineChars="0"/>
              <w:jc w:val="center"/>
              <w:rPr>
                <w:rFonts w:hAnsi="宋体"/>
                <w:b/>
              </w:rPr>
            </w:pPr>
            <w:r>
              <w:rPr>
                <w:rFonts w:hint="eastAsia" w:hAnsi="宋体"/>
                <w:b/>
              </w:rPr>
              <w:t>课程名称</w:t>
            </w:r>
          </w:p>
        </w:tc>
        <w:tc>
          <w:tcPr>
            <w:tcW w:w="2121" w:type="dxa"/>
            <w:tcBorders>
              <w:top w:val="single" w:color="auto" w:sz="4" w:space="0"/>
              <w:left w:val="nil"/>
              <w:bottom w:val="single" w:color="auto" w:sz="4" w:space="0"/>
              <w:right w:val="single" w:color="auto" w:sz="4" w:space="0"/>
            </w:tcBorders>
            <w:shd w:val="clear" w:color="auto" w:fill="auto"/>
            <w:vAlign w:val="center"/>
          </w:tcPr>
          <w:p>
            <w:pPr>
              <w:pStyle w:val="25"/>
              <w:spacing w:line="360" w:lineRule="auto"/>
              <w:ind w:firstLine="0" w:firstLineChars="0"/>
              <w:jc w:val="center"/>
              <w:rPr>
                <w:rFonts w:hAnsi="宋体"/>
                <w:b/>
              </w:rPr>
            </w:pPr>
            <w:r>
              <w:rPr>
                <w:rFonts w:hint="eastAsia" w:hAnsi="宋体"/>
                <w:b/>
              </w:rPr>
              <w:t>教材名称</w:t>
            </w:r>
          </w:p>
        </w:tc>
        <w:tc>
          <w:tcPr>
            <w:tcW w:w="2274" w:type="dxa"/>
            <w:tcBorders>
              <w:top w:val="single" w:color="auto" w:sz="4" w:space="0"/>
              <w:left w:val="nil"/>
              <w:bottom w:val="single" w:color="auto" w:sz="4" w:space="0"/>
              <w:right w:val="single" w:color="auto" w:sz="4" w:space="0"/>
            </w:tcBorders>
            <w:shd w:val="clear" w:color="auto" w:fill="auto"/>
            <w:vAlign w:val="center"/>
          </w:tcPr>
          <w:p>
            <w:pPr>
              <w:pStyle w:val="25"/>
              <w:spacing w:line="360" w:lineRule="auto"/>
              <w:ind w:firstLine="0" w:firstLineChars="0"/>
              <w:jc w:val="center"/>
              <w:rPr>
                <w:rFonts w:hAnsi="宋体"/>
                <w:b/>
              </w:rPr>
            </w:pPr>
            <w:r>
              <w:rPr>
                <w:rFonts w:hint="eastAsia" w:hAnsi="宋体"/>
                <w:b/>
              </w:rPr>
              <w:t>出版社</w:t>
            </w:r>
          </w:p>
        </w:tc>
        <w:tc>
          <w:tcPr>
            <w:tcW w:w="850" w:type="dxa"/>
            <w:tcBorders>
              <w:top w:val="single" w:color="auto" w:sz="4" w:space="0"/>
              <w:left w:val="nil"/>
              <w:bottom w:val="single" w:color="auto" w:sz="4" w:space="0"/>
              <w:right w:val="single" w:color="auto" w:sz="4" w:space="0"/>
            </w:tcBorders>
            <w:shd w:val="clear" w:color="auto" w:fill="auto"/>
            <w:vAlign w:val="center"/>
          </w:tcPr>
          <w:p>
            <w:pPr>
              <w:pStyle w:val="25"/>
              <w:spacing w:line="360" w:lineRule="auto"/>
              <w:ind w:firstLine="0" w:firstLineChars="0"/>
              <w:jc w:val="center"/>
              <w:rPr>
                <w:rFonts w:hAnsi="宋体"/>
                <w:b/>
              </w:rPr>
            </w:pPr>
            <w:r>
              <w:rPr>
                <w:rFonts w:hint="eastAsia" w:hAnsi="宋体"/>
                <w:b/>
              </w:rPr>
              <w:t>备注</w:t>
            </w: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4" w:space="0"/>
              <w:bottom w:val="single" w:color="auto" w:sz="4" w:space="0"/>
              <w:right w:val="single" w:color="auto" w:sz="4"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1</w:t>
            </w:r>
          </w:p>
        </w:tc>
        <w:tc>
          <w:tcPr>
            <w:tcW w:w="2976" w:type="dxa"/>
            <w:tcBorders>
              <w:top w:val="nil"/>
              <w:left w:val="nil"/>
              <w:bottom w:val="single" w:color="auto" w:sz="4" w:space="0"/>
              <w:right w:val="single" w:color="auto" w:sz="4"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计算机应用与网络基础教程</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计算机操作基础</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新华教育集团</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自编</w:t>
            </w: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4" w:space="0"/>
              <w:bottom w:val="single" w:color="auto" w:sz="4" w:space="0"/>
              <w:right w:val="single" w:color="auto" w:sz="4"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2</w:t>
            </w:r>
          </w:p>
        </w:tc>
        <w:tc>
          <w:tcPr>
            <w:tcW w:w="2976" w:type="dxa"/>
            <w:tcBorders>
              <w:top w:val="nil"/>
              <w:left w:val="nil"/>
              <w:bottom w:val="single" w:color="auto" w:sz="4" w:space="0"/>
              <w:right w:val="single" w:color="auto" w:sz="4"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OFFICE 2010（上、下册）</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Office办公自动化</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新华教育集团</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自编</w:t>
            </w: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4" w:space="0"/>
              <w:bottom w:val="single" w:color="auto" w:sz="4" w:space="0"/>
              <w:right w:val="single" w:color="auto" w:sz="4"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3</w:t>
            </w:r>
          </w:p>
        </w:tc>
        <w:tc>
          <w:tcPr>
            <w:tcW w:w="2976" w:type="dxa"/>
            <w:tcBorders>
              <w:top w:val="nil"/>
              <w:left w:val="nil"/>
              <w:bottom w:val="single" w:color="auto" w:sz="4" w:space="0"/>
              <w:right w:val="single" w:color="auto" w:sz="4"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计算机组装与维护</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计算机组装与维护</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新华教育集团</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自编</w:t>
            </w: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4" w:space="0"/>
              <w:bottom w:val="single" w:color="auto" w:sz="4" w:space="0"/>
              <w:right w:val="single" w:color="auto" w:sz="4"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4</w:t>
            </w:r>
          </w:p>
        </w:tc>
        <w:tc>
          <w:tcPr>
            <w:tcW w:w="2976" w:type="dxa"/>
            <w:tcBorders>
              <w:top w:val="nil"/>
              <w:left w:val="nil"/>
              <w:bottom w:val="single" w:color="auto" w:sz="4" w:space="0"/>
              <w:right w:val="single" w:color="auto" w:sz="4" w:space="0"/>
            </w:tcBorders>
            <w:shd w:val="clear" w:color="000000" w:fill="FFFFFF"/>
            <w:vAlign w:val="center"/>
          </w:tcPr>
          <w:p>
            <w:pPr>
              <w:pStyle w:val="25"/>
              <w:spacing w:line="360" w:lineRule="auto"/>
              <w:ind w:firstLine="0" w:firstLineChars="0"/>
              <w:jc w:val="center"/>
              <w:rPr>
                <w:rFonts w:hAnsi="宋体"/>
                <w:sz w:val="22"/>
                <w:szCs w:val="22"/>
              </w:rPr>
            </w:pPr>
            <w:r>
              <w:rPr>
                <w:rFonts w:hint="eastAsia" w:hAnsi="宋体"/>
                <w:sz w:val="22"/>
                <w:szCs w:val="22"/>
              </w:rPr>
              <w:t>财务报表分析</w:t>
            </w:r>
          </w:p>
        </w:tc>
        <w:tc>
          <w:tcPr>
            <w:tcW w:w="2121" w:type="dxa"/>
            <w:tcBorders>
              <w:top w:val="single" w:color="auto" w:sz="4" w:space="0"/>
              <w:left w:val="nil"/>
              <w:bottom w:val="single" w:color="auto" w:sz="4" w:space="0"/>
              <w:right w:val="single" w:color="auto" w:sz="4" w:space="0"/>
            </w:tcBorders>
            <w:shd w:val="clear" w:color="000000" w:fill="FFFFFF"/>
            <w:vAlign w:val="center"/>
          </w:tcPr>
          <w:p>
            <w:pPr>
              <w:pStyle w:val="25"/>
              <w:spacing w:line="360" w:lineRule="auto"/>
              <w:ind w:firstLine="0" w:firstLineChars="0"/>
              <w:jc w:val="center"/>
              <w:rPr>
                <w:rFonts w:hAnsi="宋体"/>
                <w:sz w:val="22"/>
                <w:szCs w:val="22"/>
              </w:rPr>
            </w:pPr>
            <w:r>
              <w:rPr>
                <w:rFonts w:hint="eastAsia" w:hAnsi="宋体"/>
                <w:sz w:val="22"/>
                <w:szCs w:val="22"/>
              </w:rPr>
              <w:t>财务报表分析</w:t>
            </w:r>
          </w:p>
        </w:tc>
        <w:tc>
          <w:tcPr>
            <w:tcW w:w="2274" w:type="dxa"/>
            <w:tcBorders>
              <w:top w:val="nil"/>
              <w:left w:val="nil"/>
              <w:bottom w:val="single" w:color="auto" w:sz="8" w:space="0"/>
              <w:right w:val="single" w:color="auto" w:sz="8" w:space="0"/>
            </w:tcBorders>
            <w:shd w:val="clear" w:color="000000" w:fill="FFFFFF"/>
            <w:vAlign w:val="center"/>
          </w:tcPr>
          <w:p>
            <w:pPr>
              <w:pStyle w:val="25"/>
              <w:spacing w:line="360" w:lineRule="auto"/>
              <w:ind w:firstLine="0" w:firstLineChars="0"/>
              <w:jc w:val="center"/>
              <w:rPr>
                <w:rFonts w:hAnsi="宋体"/>
                <w:sz w:val="22"/>
                <w:szCs w:val="22"/>
              </w:rPr>
            </w:pPr>
            <w:r>
              <w:rPr>
                <w:rFonts w:hint="eastAsia" w:hAnsi="宋体"/>
                <w:sz w:val="22"/>
                <w:szCs w:val="22"/>
              </w:rPr>
              <w:t>北京邮电出版社</w:t>
            </w:r>
          </w:p>
        </w:tc>
        <w:tc>
          <w:tcPr>
            <w:tcW w:w="850" w:type="dxa"/>
            <w:tcBorders>
              <w:top w:val="nil"/>
              <w:left w:val="nil"/>
              <w:bottom w:val="single" w:color="auto" w:sz="8" w:space="0"/>
              <w:right w:val="single" w:color="auto" w:sz="8" w:space="0"/>
            </w:tcBorders>
            <w:shd w:val="clear" w:color="000000" w:fill="FFFFFF"/>
            <w:vAlign w:val="center"/>
          </w:tcPr>
          <w:p>
            <w:pPr>
              <w:pStyle w:val="25"/>
              <w:spacing w:line="360" w:lineRule="auto"/>
              <w:ind w:firstLine="0" w:firstLineChars="0"/>
              <w:jc w:val="center"/>
              <w:rPr>
                <w:rFonts w:hAnsi="宋体"/>
                <w:sz w:val="22"/>
                <w:szCs w:val="22"/>
              </w:rPr>
            </w:pP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4" w:space="0"/>
              <w:bottom w:val="single" w:color="auto" w:sz="4" w:space="0"/>
              <w:right w:val="single" w:color="auto" w:sz="4"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5</w:t>
            </w:r>
          </w:p>
        </w:tc>
        <w:tc>
          <w:tcPr>
            <w:tcW w:w="2976" w:type="dxa"/>
            <w:tcBorders>
              <w:top w:val="nil"/>
              <w:left w:val="nil"/>
              <w:bottom w:val="single" w:color="auto" w:sz="4" w:space="0"/>
              <w:right w:val="single" w:color="auto" w:sz="4" w:space="0"/>
            </w:tcBorders>
            <w:shd w:val="clear" w:color="000000" w:fill="FFFFFF"/>
            <w:vAlign w:val="center"/>
          </w:tcPr>
          <w:p>
            <w:pPr>
              <w:pStyle w:val="25"/>
              <w:spacing w:line="360" w:lineRule="auto"/>
              <w:ind w:firstLine="0" w:firstLineChars="0"/>
              <w:jc w:val="center"/>
              <w:rPr>
                <w:rFonts w:hAnsi="宋体"/>
                <w:sz w:val="22"/>
                <w:szCs w:val="22"/>
              </w:rPr>
            </w:pPr>
            <w:r>
              <w:rPr>
                <w:rFonts w:hint="eastAsia" w:hAnsi="宋体"/>
                <w:sz w:val="22"/>
                <w:szCs w:val="22"/>
              </w:rPr>
              <w:t>税务会计</w:t>
            </w:r>
          </w:p>
        </w:tc>
        <w:tc>
          <w:tcPr>
            <w:tcW w:w="2121" w:type="dxa"/>
            <w:tcBorders>
              <w:top w:val="nil"/>
              <w:left w:val="nil"/>
              <w:bottom w:val="single" w:color="auto" w:sz="4" w:space="0"/>
              <w:right w:val="single" w:color="auto" w:sz="4" w:space="0"/>
            </w:tcBorders>
            <w:shd w:val="clear" w:color="000000" w:fill="FFFFFF"/>
            <w:vAlign w:val="center"/>
          </w:tcPr>
          <w:p>
            <w:pPr>
              <w:pStyle w:val="25"/>
              <w:spacing w:line="360" w:lineRule="auto"/>
              <w:ind w:firstLine="0" w:firstLineChars="0"/>
              <w:jc w:val="center"/>
              <w:rPr>
                <w:rFonts w:hAnsi="宋体"/>
                <w:sz w:val="22"/>
                <w:szCs w:val="22"/>
              </w:rPr>
            </w:pPr>
            <w:r>
              <w:rPr>
                <w:rFonts w:hint="eastAsia" w:hAnsi="宋体"/>
                <w:sz w:val="22"/>
                <w:szCs w:val="22"/>
              </w:rPr>
              <w:t>税务会计</w:t>
            </w:r>
          </w:p>
        </w:tc>
        <w:tc>
          <w:tcPr>
            <w:tcW w:w="2274" w:type="dxa"/>
            <w:tcBorders>
              <w:top w:val="nil"/>
              <w:left w:val="nil"/>
              <w:bottom w:val="single" w:color="auto" w:sz="8" w:space="0"/>
              <w:right w:val="single" w:color="auto" w:sz="8" w:space="0"/>
            </w:tcBorders>
            <w:shd w:val="clear" w:color="000000" w:fill="FFFFFF"/>
            <w:vAlign w:val="center"/>
          </w:tcPr>
          <w:p>
            <w:pPr>
              <w:pStyle w:val="25"/>
              <w:spacing w:line="360" w:lineRule="auto"/>
              <w:ind w:firstLine="0" w:firstLineChars="0"/>
              <w:jc w:val="center"/>
              <w:rPr>
                <w:rFonts w:hAnsi="宋体"/>
                <w:sz w:val="22"/>
                <w:szCs w:val="22"/>
              </w:rPr>
            </w:pPr>
            <w:r>
              <w:rPr>
                <w:rFonts w:hint="eastAsia" w:hAnsi="宋体"/>
                <w:sz w:val="22"/>
                <w:szCs w:val="22"/>
              </w:rPr>
              <w:t>北京邮电出版社</w:t>
            </w:r>
          </w:p>
        </w:tc>
        <w:tc>
          <w:tcPr>
            <w:tcW w:w="850" w:type="dxa"/>
            <w:tcBorders>
              <w:top w:val="nil"/>
              <w:left w:val="nil"/>
              <w:bottom w:val="single" w:color="auto" w:sz="8" w:space="0"/>
              <w:right w:val="single" w:color="auto" w:sz="8" w:space="0"/>
            </w:tcBorders>
            <w:shd w:val="clear" w:color="000000" w:fill="FFFFFF"/>
            <w:vAlign w:val="center"/>
          </w:tcPr>
          <w:p>
            <w:pPr>
              <w:pStyle w:val="25"/>
              <w:spacing w:line="360" w:lineRule="auto"/>
              <w:ind w:firstLine="0" w:firstLineChars="0"/>
              <w:jc w:val="center"/>
              <w:rPr>
                <w:rFonts w:hAnsi="宋体"/>
                <w:sz w:val="22"/>
                <w:szCs w:val="22"/>
              </w:rPr>
            </w:pP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6</w:t>
            </w:r>
          </w:p>
        </w:tc>
        <w:tc>
          <w:tcPr>
            <w:tcW w:w="2976" w:type="dxa"/>
            <w:tcBorders>
              <w:top w:val="nil"/>
              <w:left w:val="nil"/>
              <w:bottom w:val="single" w:color="auto" w:sz="8" w:space="0"/>
              <w:right w:val="single" w:color="auto" w:sz="8" w:space="0"/>
            </w:tcBorders>
            <w:shd w:val="clear" w:color="000000" w:fill="FFFFFF"/>
            <w:vAlign w:val="center"/>
          </w:tcPr>
          <w:p>
            <w:pPr>
              <w:pStyle w:val="25"/>
              <w:spacing w:line="360" w:lineRule="auto"/>
              <w:ind w:firstLine="0" w:firstLineChars="0"/>
              <w:jc w:val="center"/>
              <w:rPr>
                <w:rFonts w:hAnsi="宋体"/>
                <w:sz w:val="22"/>
                <w:szCs w:val="22"/>
              </w:rPr>
            </w:pPr>
            <w:r>
              <w:rPr>
                <w:rFonts w:hint="eastAsia" w:hAnsi="宋体"/>
                <w:sz w:val="22"/>
                <w:szCs w:val="22"/>
              </w:rPr>
              <w:t>财经应用文写作</w:t>
            </w:r>
          </w:p>
        </w:tc>
        <w:tc>
          <w:tcPr>
            <w:tcW w:w="2121" w:type="dxa"/>
            <w:tcBorders>
              <w:top w:val="nil"/>
              <w:left w:val="nil"/>
              <w:bottom w:val="single" w:color="auto" w:sz="8" w:space="0"/>
              <w:right w:val="single" w:color="auto" w:sz="8" w:space="0"/>
            </w:tcBorders>
            <w:shd w:val="clear" w:color="000000" w:fill="FFFFFF"/>
            <w:vAlign w:val="center"/>
          </w:tcPr>
          <w:p>
            <w:pPr>
              <w:pStyle w:val="25"/>
              <w:spacing w:line="360" w:lineRule="auto"/>
              <w:ind w:firstLine="0" w:firstLineChars="0"/>
              <w:jc w:val="center"/>
              <w:rPr>
                <w:rFonts w:hAnsi="宋体"/>
                <w:sz w:val="22"/>
                <w:szCs w:val="22"/>
              </w:rPr>
            </w:pPr>
            <w:r>
              <w:rPr>
                <w:rFonts w:hint="eastAsia" w:hAnsi="宋体"/>
                <w:sz w:val="22"/>
                <w:szCs w:val="22"/>
              </w:rPr>
              <w:t>财经应用文写作</w:t>
            </w:r>
          </w:p>
        </w:tc>
        <w:tc>
          <w:tcPr>
            <w:tcW w:w="2274" w:type="dxa"/>
            <w:tcBorders>
              <w:top w:val="nil"/>
              <w:left w:val="nil"/>
              <w:bottom w:val="single" w:color="auto" w:sz="8" w:space="0"/>
              <w:right w:val="single" w:color="auto" w:sz="8" w:space="0"/>
            </w:tcBorders>
            <w:shd w:val="clear" w:color="000000" w:fill="FFFFFF"/>
            <w:vAlign w:val="center"/>
          </w:tcPr>
          <w:p>
            <w:pPr>
              <w:pStyle w:val="25"/>
              <w:spacing w:line="360" w:lineRule="auto"/>
              <w:ind w:firstLine="0" w:firstLineChars="0"/>
              <w:jc w:val="center"/>
              <w:rPr>
                <w:rFonts w:hAnsi="宋体"/>
                <w:sz w:val="22"/>
                <w:szCs w:val="22"/>
              </w:rPr>
            </w:pPr>
            <w:r>
              <w:rPr>
                <w:rFonts w:hint="eastAsia" w:hAnsi="宋体"/>
                <w:sz w:val="22"/>
                <w:szCs w:val="22"/>
              </w:rPr>
              <w:t>北京邮电出版社</w:t>
            </w:r>
          </w:p>
        </w:tc>
        <w:tc>
          <w:tcPr>
            <w:tcW w:w="850" w:type="dxa"/>
            <w:tcBorders>
              <w:top w:val="nil"/>
              <w:left w:val="nil"/>
              <w:bottom w:val="single" w:color="auto" w:sz="8" w:space="0"/>
              <w:right w:val="single" w:color="auto" w:sz="8" w:space="0"/>
            </w:tcBorders>
            <w:shd w:val="clear" w:color="000000" w:fill="FFFFFF"/>
            <w:vAlign w:val="center"/>
          </w:tcPr>
          <w:p>
            <w:pPr>
              <w:pStyle w:val="25"/>
              <w:spacing w:line="360" w:lineRule="auto"/>
              <w:ind w:firstLine="0" w:firstLineChars="0"/>
              <w:jc w:val="center"/>
              <w:rPr>
                <w:rFonts w:hAnsi="宋体"/>
                <w:sz w:val="22"/>
                <w:szCs w:val="22"/>
              </w:rPr>
            </w:pP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7</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基础会计学</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基础会计学</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新华教育集团</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自编</w:t>
            </w: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8</w:t>
            </w:r>
          </w:p>
        </w:tc>
        <w:tc>
          <w:tcPr>
            <w:tcW w:w="2976" w:type="dxa"/>
            <w:tcBorders>
              <w:top w:val="nil"/>
              <w:left w:val="nil"/>
              <w:bottom w:val="single" w:color="auto" w:sz="8" w:space="0"/>
              <w:right w:val="single" w:color="auto" w:sz="8" w:space="0"/>
            </w:tcBorders>
            <w:shd w:val="clear" w:color="000000" w:fill="FFFFFF"/>
            <w:vAlign w:val="center"/>
          </w:tcPr>
          <w:p>
            <w:pPr>
              <w:pStyle w:val="25"/>
              <w:spacing w:line="360" w:lineRule="auto"/>
              <w:ind w:firstLine="0" w:firstLineChars="0"/>
              <w:jc w:val="center"/>
              <w:rPr>
                <w:rFonts w:hAnsi="宋体"/>
                <w:sz w:val="22"/>
                <w:szCs w:val="22"/>
              </w:rPr>
            </w:pPr>
            <w:r>
              <w:rPr>
                <w:rFonts w:hint="eastAsia" w:hAnsi="宋体"/>
                <w:sz w:val="22"/>
                <w:szCs w:val="22"/>
              </w:rPr>
              <w:t>语文</w:t>
            </w:r>
          </w:p>
        </w:tc>
        <w:tc>
          <w:tcPr>
            <w:tcW w:w="2121" w:type="dxa"/>
            <w:tcBorders>
              <w:top w:val="nil"/>
              <w:left w:val="nil"/>
              <w:bottom w:val="single" w:color="auto" w:sz="8" w:space="0"/>
              <w:right w:val="single" w:color="auto" w:sz="8" w:space="0"/>
            </w:tcBorders>
            <w:shd w:val="clear" w:color="000000" w:fill="FFFFFF"/>
            <w:vAlign w:val="center"/>
          </w:tcPr>
          <w:p>
            <w:pPr>
              <w:pStyle w:val="25"/>
              <w:spacing w:line="360" w:lineRule="auto"/>
              <w:ind w:firstLine="0" w:firstLineChars="0"/>
              <w:jc w:val="center"/>
              <w:rPr>
                <w:rFonts w:hAnsi="宋体"/>
                <w:sz w:val="22"/>
                <w:szCs w:val="22"/>
              </w:rPr>
            </w:pPr>
            <w:r>
              <w:rPr>
                <w:rFonts w:hint="eastAsia" w:hAnsi="宋体"/>
                <w:sz w:val="22"/>
                <w:szCs w:val="22"/>
              </w:rPr>
              <w:t>语文</w:t>
            </w:r>
          </w:p>
        </w:tc>
        <w:tc>
          <w:tcPr>
            <w:tcW w:w="2274" w:type="dxa"/>
            <w:tcBorders>
              <w:top w:val="nil"/>
              <w:left w:val="nil"/>
              <w:bottom w:val="single" w:color="auto" w:sz="8" w:space="0"/>
              <w:right w:val="single" w:color="auto" w:sz="8" w:space="0"/>
            </w:tcBorders>
            <w:shd w:val="clear" w:color="000000" w:fill="FFFFFF"/>
            <w:vAlign w:val="center"/>
          </w:tcPr>
          <w:p>
            <w:pPr>
              <w:pStyle w:val="25"/>
              <w:spacing w:line="360" w:lineRule="auto"/>
              <w:ind w:firstLine="0" w:firstLineChars="0"/>
              <w:jc w:val="center"/>
              <w:rPr>
                <w:rFonts w:hAnsi="宋体"/>
                <w:sz w:val="22"/>
                <w:szCs w:val="22"/>
              </w:rPr>
            </w:pPr>
            <w:r>
              <w:rPr>
                <w:rFonts w:hint="eastAsia" w:hAnsi="宋体"/>
                <w:sz w:val="22"/>
                <w:szCs w:val="22"/>
              </w:rPr>
              <w:t>语文出版社</w:t>
            </w:r>
          </w:p>
        </w:tc>
        <w:tc>
          <w:tcPr>
            <w:tcW w:w="850" w:type="dxa"/>
            <w:tcBorders>
              <w:top w:val="nil"/>
              <w:left w:val="nil"/>
              <w:bottom w:val="single" w:color="auto" w:sz="8" w:space="0"/>
              <w:right w:val="single" w:color="auto" w:sz="8" w:space="0"/>
            </w:tcBorders>
            <w:shd w:val="clear" w:color="000000" w:fill="FFFFFF"/>
            <w:vAlign w:val="center"/>
          </w:tcPr>
          <w:p>
            <w:pPr>
              <w:pStyle w:val="25"/>
              <w:spacing w:line="360" w:lineRule="auto"/>
              <w:ind w:firstLine="0" w:firstLineChars="0"/>
              <w:jc w:val="center"/>
              <w:rPr>
                <w:rFonts w:hAnsi="宋体"/>
                <w:sz w:val="22"/>
                <w:szCs w:val="22"/>
              </w:rPr>
            </w:pP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9</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数学</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数学</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语文出版社</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10</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外语</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外语</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语文出版社</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11</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体育</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体育</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人民教育出版社</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12</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职业生涯规划</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职业生涯规划</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西北工业大学</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13</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职业道德与法律</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职业道德与法律</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西北工业大学</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14</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经济政治与社会</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经济政治与社会</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西北工业大学</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15</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哲学与人生</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哲学与人生</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中国传媒大学</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16</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就业指导</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IT精英职业导航</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新华教育集团</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自编</w:t>
            </w: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17</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ERP原理及应用</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ERP原理及应用</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新华教育集团</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自编</w:t>
            </w: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18</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财务管理</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ERP原理及应用</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新华教育集团</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自编</w:t>
            </w: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19</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管理学原理</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ERP原理及应用</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大连理工大学出版社</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20</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市场营销</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ERP原理及应用</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新华教育集团</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自编</w:t>
            </w: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21</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SMM社会化媒体营销</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SMM社会化媒体营销</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新华教育集团</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自编</w:t>
            </w: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22</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跨境电商速卖通运营与管理</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跨境电商速卖通运营与管理</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新华教育集团</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自编</w:t>
            </w: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23</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财税统计知识</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财税统计知识</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24</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网店运营与管理</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网店运营与管理</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新华教育集团</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自编</w:t>
            </w: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25</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审计基础</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审计基础</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人民出版社</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p>
        </w:tc>
      </w:tr>
      <w:tr>
        <w:tblPrEx>
          <w:tblCellMar>
            <w:top w:w="0" w:type="dxa"/>
            <w:left w:w="108" w:type="dxa"/>
            <w:bottom w:w="0" w:type="dxa"/>
            <w:right w:w="108" w:type="dxa"/>
          </w:tblCellMar>
        </w:tblPrEx>
        <w:trPr>
          <w:trHeight w:val="437" w:hRule="atLeast"/>
          <w:jc w:val="center"/>
        </w:trPr>
        <w:tc>
          <w:tcPr>
            <w:tcW w:w="710" w:type="dxa"/>
            <w:tcBorders>
              <w:top w:val="nil"/>
              <w:left w:val="single" w:color="auto" w:sz="8" w:space="0"/>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26</w:t>
            </w:r>
          </w:p>
        </w:tc>
        <w:tc>
          <w:tcPr>
            <w:tcW w:w="2976"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初级会计实务</w:t>
            </w:r>
          </w:p>
        </w:tc>
        <w:tc>
          <w:tcPr>
            <w:tcW w:w="2121"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初级会计实务</w:t>
            </w:r>
          </w:p>
        </w:tc>
        <w:tc>
          <w:tcPr>
            <w:tcW w:w="2274"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r>
              <w:rPr>
                <w:rFonts w:hint="eastAsia" w:hAnsi="宋体"/>
                <w:sz w:val="22"/>
                <w:szCs w:val="22"/>
              </w:rPr>
              <w:t>人民出版社</w:t>
            </w:r>
          </w:p>
        </w:tc>
        <w:tc>
          <w:tcPr>
            <w:tcW w:w="850" w:type="dxa"/>
            <w:tcBorders>
              <w:top w:val="nil"/>
              <w:left w:val="nil"/>
              <w:bottom w:val="single" w:color="auto" w:sz="8" w:space="0"/>
              <w:right w:val="single" w:color="auto" w:sz="8" w:space="0"/>
            </w:tcBorders>
            <w:shd w:val="clear" w:color="auto" w:fill="auto"/>
            <w:vAlign w:val="center"/>
          </w:tcPr>
          <w:p>
            <w:pPr>
              <w:pStyle w:val="25"/>
              <w:spacing w:line="360" w:lineRule="auto"/>
              <w:ind w:firstLine="0" w:firstLineChars="0"/>
              <w:jc w:val="center"/>
              <w:rPr>
                <w:rFonts w:hAnsi="宋体"/>
                <w:sz w:val="22"/>
                <w:szCs w:val="22"/>
              </w:rPr>
            </w:pPr>
          </w:p>
        </w:tc>
      </w:tr>
    </w:tbl>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2）学校有完整的具有符合上级主管部门颁布的本专业指导性人才培养方案精神的校内实施性教学计划和实施性教学大纲。结合建筑</w:t>
      </w:r>
      <w:r>
        <w:rPr>
          <w:rFonts w:ascii="仿宋_GB2312" w:eastAsia="仿宋_GB2312"/>
          <w:sz w:val="24"/>
          <w:szCs w:val="30"/>
        </w:rPr>
        <w:t>装饰行业</w:t>
      </w:r>
      <w:r>
        <w:rPr>
          <w:rFonts w:hint="eastAsia" w:ascii="仿宋_GB2312" w:eastAsia="仿宋_GB2312"/>
          <w:sz w:val="24"/>
          <w:szCs w:val="30"/>
        </w:rPr>
        <w:t>发展状况，紧贴市场需求，以房屋建筑施工、工程监理、工程质量检测等职业能力培养为主线，直接引入行业领军企业，合作开发校企合作项目和实行“工学结合”特色实习实训的模块化课程体系。</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3）通过细化专业职业技能，突出针对性、实用性和实践性；重新整合和优化课程结构，增强专业课程之间的关联度，重设专业基础能力课程体系，持续更新专业核心技能课程，核心技能实训教学环节全部引入企业真实工作任务。</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4）开设实战操作类课程及实训，调整专业实训时间，增设专业跟岗实训环节，在真实工作环境中开展企业全岗位实训，从而使参与师生能够更加深入地了解企业的运营管理等内部运作的模式，提升学生在计算</w:t>
      </w:r>
      <w:r>
        <w:rPr>
          <w:rFonts w:ascii="仿宋_GB2312" w:eastAsia="仿宋_GB2312"/>
          <w:sz w:val="24"/>
          <w:szCs w:val="30"/>
        </w:rPr>
        <w:t>机应用操作、计算机维修、平面设计</w:t>
      </w:r>
      <w:r>
        <w:rPr>
          <w:rFonts w:hint="eastAsia" w:ascii="仿宋_GB2312" w:eastAsia="仿宋_GB2312"/>
          <w:sz w:val="24"/>
          <w:szCs w:val="30"/>
        </w:rPr>
        <w:t>等方面的专业技能。</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5）在教材与教法改革中，组建由专兼教师组成的课程团队，校企合作开发建设实习实训教材；基于项目化教学，开发校本课程和配套信息化资源。进一步普及智慧课堂的应用，推进“教学练做创”一体化教学模式改革，响应国家对“互联网+”政策对教育的侧重和支持，探索中职生电子商务实践创业操作平台的建设和普及应用。</w:t>
      </w:r>
    </w:p>
    <w:p>
      <w:pPr>
        <w:overflowPunct w:val="0"/>
        <w:spacing w:line="360" w:lineRule="auto"/>
        <w:ind w:firstLine="460" w:firstLineChars="192"/>
        <w:rPr>
          <w:rFonts w:ascii="仿宋_GB2312" w:eastAsia="仿宋_GB2312"/>
          <w:sz w:val="24"/>
          <w:szCs w:val="30"/>
        </w:rPr>
      </w:pPr>
      <w:r>
        <w:rPr>
          <w:rFonts w:hint="eastAsia" w:ascii="仿宋_GB2312" w:eastAsia="仿宋_GB2312"/>
          <w:sz w:val="24"/>
          <w:szCs w:val="30"/>
        </w:rPr>
        <w:t>6）制定《会计电算化专业校内实训教师岗位职责》，建立《会计电算化专业学生校内实训管理细则》。建立真实的工作环境、建立满足实训用的资料库、编写会计模拟实训指导书、制定学习成绩评价标准。</w:t>
      </w:r>
    </w:p>
    <w:p>
      <w:pPr>
        <w:overflowPunct w:val="0"/>
        <w:spacing w:line="360" w:lineRule="auto"/>
        <w:ind w:firstLine="460" w:firstLineChars="192"/>
        <w:rPr>
          <w:rFonts w:hAnsi="宋体"/>
        </w:rPr>
      </w:pPr>
      <w:r>
        <w:rPr>
          <w:rFonts w:hint="eastAsia" w:ascii="仿宋_GB2312" w:eastAsia="仿宋_GB2312"/>
          <w:sz w:val="24"/>
          <w:szCs w:val="30"/>
        </w:rPr>
        <w:t>7）制定和完善实训基地管理制度以及各实训基地运行管理文件，形成具有规范化、系列化的实训基地规章制度，包括设备管理制度、实训教师实践教学指导工作规范、学生实训过程管理制度、基地安全管理制度等。</w:t>
      </w:r>
    </w:p>
    <w:tbl>
      <w:tblPr>
        <w:tblStyle w:val="11"/>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175"/>
        <w:gridCol w:w="5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blHeader/>
          <w:jc w:val="center"/>
        </w:trPr>
        <w:tc>
          <w:tcPr>
            <w:tcW w:w="760" w:type="dxa"/>
            <w:vAlign w:val="center"/>
          </w:tcPr>
          <w:p>
            <w:pPr>
              <w:snapToGrid w:val="0"/>
              <w:spacing w:line="360" w:lineRule="auto"/>
              <w:jc w:val="center"/>
              <w:rPr>
                <w:rFonts w:ascii="仿宋_GB2312" w:hAnsi="宋体" w:eastAsia="仿宋_GB2312"/>
                <w:b/>
                <w:szCs w:val="21"/>
              </w:rPr>
            </w:pPr>
            <w:r>
              <w:rPr>
                <w:rFonts w:hint="eastAsia" w:ascii="仿宋_GB2312" w:hAnsi="宋体" w:eastAsia="仿宋_GB2312"/>
                <w:b/>
                <w:szCs w:val="21"/>
              </w:rPr>
              <w:t>序号</w:t>
            </w:r>
          </w:p>
        </w:tc>
        <w:tc>
          <w:tcPr>
            <w:tcW w:w="2175" w:type="dxa"/>
            <w:vAlign w:val="center"/>
          </w:tcPr>
          <w:p>
            <w:pPr>
              <w:snapToGrid w:val="0"/>
              <w:spacing w:line="360" w:lineRule="auto"/>
              <w:ind w:firstLine="200"/>
              <w:jc w:val="center"/>
              <w:rPr>
                <w:rFonts w:ascii="仿宋_GB2312" w:hAnsi="宋体" w:eastAsia="仿宋_GB2312"/>
                <w:b/>
                <w:szCs w:val="21"/>
              </w:rPr>
            </w:pPr>
            <w:r>
              <w:rPr>
                <w:rFonts w:hint="eastAsia" w:ascii="仿宋_GB2312" w:hAnsi="宋体" w:eastAsia="仿宋_GB2312"/>
                <w:b/>
                <w:kern w:val="0"/>
                <w:szCs w:val="21"/>
              </w:rPr>
              <w:t>制度名称</w:t>
            </w:r>
          </w:p>
        </w:tc>
        <w:tc>
          <w:tcPr>
            <w:tcW w:w="5708" w:type="dxa"/>
            <w:vAlign w:val="center"/>
          </w:tcPr>
          <w:p>
            <w:pPr>
              <w:snapToGrid w:val="0"/>
              <w:spacing w:line="360" w:lineRule="auto"/>
              <w:jc w:val="center"/>
              <w:rPr>
                <w:rFonts w:ascii="仿宋_GB2312" w:hAnsi="宋体" w:eastAsia="仿宋_GB2312"/>
                <w:b/>
                <w:szCs w:val="21"/>
              </w:rPr>
            </w:pPr>
            <w:r>
              <w:rPr>
                <w:rFonts w:hint="eastAsia" w:ascii="仿宋_GB2312" w:hAnsi="宋体" w:eastAsia="仿宋_GB2312"/>
                <w:b/>
                <w:kern w:val="0"/>
                <w:szCs w:val="21"/>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60" w:type="dxa"/>
            <w:vAlign w:val="center"/>
          </w:tcPr>
          <w:p>
            <w:pPr>
              <w:snapToGrid w:val="0"/>
              <w:spacing w:line="360" w:lineRule="auto"/>
              <w:ind w:firstLine="200"/>
              <w:rPr>
                <w:rFonts w:ascii="仿宋_GB2312" w:hAnsi="宋体" w:eastAsia="仿宋_GB2312"/>
                <w:szCs w:val="21"/>
              </w:rPr>
            </w:pPr>
            <w:r>
              <w:rPr>
                <w:rFonts w:hint="eastAsia" w:ascii="仿宋_GB2312" w:hAnsi="宋体" w:eastAsia="仿宋_GB2312"/>
                <w:szCs w:val="21"/>
              </w:rPr>
              <w:t>1</w:t>
            </w:r>
          </w:p>
        </w:tc>
        <w:tc>
          <w:tcPr>
            <w:tcW w:w="2175" w:type="dxa"/>
            <w:vAlign w:val="center"/>
          </w:tcPr>
          <w:p>
            <w:pPr>
              <w:snapToGrid w:val="0"/>
              <w:spacing w:line="360" w:lineRule="auto"/>
              <w:jc w:val="center"/>
              <w:rPr>
                <w:rFonts w:ascii="仿宋_GB2312" w:hAnsi="宋体" w:eastAsia="仿宋_GB2312"/>
                <w:kern w:val="0"/>
                <w:szCs w:val="21"/>
              </w:rPr>
            </w:pPr>
            <w:r>
              <w:fldChar w:fldCharType="begin"/>
            </w:r>
            <w:r>
              <w:instrText xml:space="preserve"> HYPERLINK \l "_Toc345071556" </w:instrText>
            </w:r>
            <w:r>
              <w:fldChar w:fldCharType="separate"/>
            </w:r>
            <w:r>
              <w:rPr>
                <w:rFonts w:hint="eastAsia" w:ascii="仿宋_GB2312" w:hAnsi="宋体" w:eastAsia="仿宋_GB2312"/>
                <w:kern w:val="0"/>
                <w:szCs w:val="21"/>
              </w:rPr>
              <w:t>实训教学管理规定</w:t>
            </w:r>
            <w:r>
              <w:rPr>
                <w:rFonts w:hint="eastAsia" w:ascii="仿宋_GB2312" w:hAnsi="宋体" w:eastAsia="仿宋_GB2312"/>
                <w:kern w:val="0"/>
                <w:szCs w:val="21"/>
              </w:rPr>
              <w:fldChar w:fldCharType="end"/>
            </w:r>
          </w:p>
        </w:tc>
        <w:tc>
          <w:tcPr>
            <w:tcW w:w="5708" w:type="dxa"/>
            <w:vAlign w:val="center"/>
          </w:tcPr>
          <w:p>
            <w:pPr>
              <w:autoSpaceDE w:val="0"/>
              <w:autoSpaceDN w:val="0"/>
              <w:adjustRightInd w:val="0"/>
              <w:snapToGrid w:val="0"/>
              <w:spacing w:line="360" w:lineRule="auto"/>
              <w:rPr>
                <w:rFonts w:ascii="仿宋_GB2312" w:hAnsi="宋体" w:eastAsia="仿宋_GB2312"/>
                <w:kern w:val="0"/>
                <w:szCs w:val="21"/>
              </w:rPr>
            </w:pPr>
            <w:r>
              <w:rPr>
                <w:rFonts w:hint="eastAsia" w:ascii="仿宋_GB2312" w:hAnsi="宋体" w:eastAsia="仿宋_GB2312"/>
                <w:kern w:val="0"/>
                <w:szCs w:val="21"/>
              </w:rPr>
              <w:t>进一步加强实训教学管理，建立正常的实训教学秩序，实现实训教学管理科学化、规范化、不断提高实训教学质量和管理水平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60" w:type="dxa"/>
            <w:vAlign w:val="center"/>
          </w:tcPr>
          <w:p>
            <w:pPr>
              <w:snapToGrid w:val="0"/>
              <w:spacing w:line="360" w:lineRule="auto"/>
              <w:ind w:firstLine="200"/>
              <w:rPr>
                <w:rFonts w:ascii="仿宋_GB2312" w:hAnsi="宋体" w:eastAsia="仿宋_GB2312"/>
                <w:szCs w:val="21"/>
              </w:rPr>
            </w:pPr>
            <w:r>
              <w:rPr>
                <w:rFonts w:hint="eastAsia" w:ascii="仿宋_GB2312" w:hAnsi="宋体" w:eastAsia="仿宋_GB2312"/>
                <w:szCs w:val="21"/>
              </w:rPr>
              <w:t>2</w:t>
            </w:r>
          </w:p>
        </w:tc>
        <w:tc>
          <w:tcPr>
            <w:tcW w:w="2175" w:type="dxa"/>
            <w:vAlign w:val="center"/>
          </w:tcPr>
          <w:p>
            <w:pPr>
              <w:snapToGrid w:val="0"/>
              <w:spacing w:line="360" w:lineRule="auto"/>
              <w:jc w:val="center"/>
              <w:rPr>
                <w:rFonts w:ascii="仿宋_GB2312" w:hAnsi="宋体" w:eastAsia="仿宋_GB2312"/>
                <w:kern w:val="0"/>
                <w:szCs w:val="21"/>
              </w:rPr>
            </w:pPr>
            <w:r>
              <w:fldChar w:fldCharType="begin"/>
            </w:r>
            <w:r>
              <w:instrText xml:space="preserve"> HYPERLINK \l "_Toc345071557" </w:instrText>
            </w:r>
            <w:r>
              <w:fldChar w:fldCharType="separate"/>
            </w:r>
            <w:r>
              <w:rPr>
                <w:rFonts w:hint="eastAsia" w:ascii="仿宋_GB2312" w:hAnsi="宋体" w:eastAsia="仿宋_GB2312"/>
                <w:kern w:val="0"/>
                <w:szCs w:val="21"/>
              </w:rPr>
              <w:t>关于加强实践教学指导教师及管理队伍建设的意见</w:t>
            </w:r>
            <w:r>
              <w:rPr>
                <w:rFonts w:hint="eastAsia" w:ascii="仿宋_GB2312" w:hAnsi="宋体" w:eastAsia="仿宋_GB2312"/>
                <w:kern w:val="0"/>
                <w:szCs w:val="21"/>
              </w:rPr>
              <w:fldChar w:fldCharType="end"/>
            </w:r>
          </w:p>
        </w:tc>
        <w:tc>
          <w:tcPr>
            <w:tcW w:w="5708" w:type="dxa"/>
            <w:vAlign w:val="center"/>
          </w:tcPr>
          <w:p>
            <w:pPr>
              <w:spacing w:line="360" w:lineRule="auto"/>
              <w:ind w:firstLine="200"/>
              <w:rPr>
                <w:rFonts w:ascii="仿宋_GB2312" w:hAnsi="宋体" w:eastAsia="仿宋_GB2312"/>
                <w:szCs w:val="21"/>
              </w:rPr>
            </w:pPr>
            <w:r>
              <w:rPr>
                <w:rFonts w:hint="eastAsia" w:ascii="仿宋_GB2312" w:hAnsi="宋体" w:eastAsia="仿宋_GB2312"/>
                <w:kern w:val="0"/>
                <w:szCs w:val="21"/>
              </w:rPr>
              <w:t>根据教育部《关于全面提高高等职业教育教学质量的若干意见(教高〔2006〕16号)》文件精神和高等院校教师任职资格条例，加强实践性教学环节的管理，提高实践教学质量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60" w:type="dxa"/>
            <w:vAlign w:val="center"/>
          </w:tcPr>
          <w:p>
            <w:pPr>
              <w:snapToGrid w:val="0"/>
              <w:spacing w:line="360" w:lineRule="auto"/>
              <w:ind w:firstLine="200"/>
              <w:rPr>
                <w:rFonts w:ascii="仿宋_GB2312" w:hAnsi="宋体" w:eastAsia="仿宋_GB2312"/>
                <w:szCs w:val="21"/>
              </w:rPr>
            </w:pPr>
            <w:r>
              <w:rPr>
                <w:rFonts w:hint="eastAsia" w:ascii="仿宋_GB2312" w:hAnsi="宋体" w:eastAsia="仿宋_GB2312"/>
                <w:szCs w:val="21"/>
              </w:rPr>
              <w:t>3</w:t>
            </w:r>
          </w:p>
        </w:tc>
        <w:tc>
          <w:tcPr>
            <w:tcW w:w="2175" w:type="dxa"/>
            <w:vAlign w:val="center"/>
          </w:tcPr>
          <w:p>
            <w:pPr>
              <w:snapToGrid w:val="0"/>
              <w:spacing w:line="360" w:lineRule="auto"/>
              <w:jc w:val="center"/>
              <w:rPr>
                <w:rFonts w:ascii="仿宋_GB2312" w:hAnsi="宋体" w:eastAsia="仿宋_GB2312"/>
                <w:kern w:val="0"/>
                <w:szCs w:val="21"/>
              </w:rPr>
            </w:pPr>
            <w:r>
              <w:fldChar w:fldCharType="begin"/>
            </w:r>
            <w:r>
              <w:instrText xml:space="preserve"> HYPERLINK \l "_Toc345071558" </w:instrText>
            </w:r>
            <w:r>
              <w:fldChar w:fldCharType="separate"/>
            </w:r>
            <w:r>
              <w:rPr>
                <w:rFonts w:hint="eastAsia" w:ascii="仿宋_GB2312" w:hAnsi="宋体" w:eastAsia="仿宋_GB2312"/>
                <w:kern w:val="0"/>
                <w:szCs w:val="21"/>
              </w:rPr>
              <w:t>关于加强学生职业能力训练与职业资格鉴定工作的意见</w:t>
            </w:r>
            <w:r>
              <w:rPr>
                <w:rFonts w:hint="eastAsia" w:ascii="仿宋_GB2312" w:hAnsi="宋体" w:eastAsia="仿宋_GB2312"/>
                <w:kern w:val="0"/>
                <w:szCs w:val="21"/>
              </w:rPr>
              <w:fldChar w:fldCharType="end"/>
            </w:r>
          </w:p>
        </w:tc>
        <w:tc>
          <w:tcPr>
            <w:tcW w:w="5708" w:type="dxa"/>
            <w:vAlign w:val="center"/>
          </w:tcPr>
          <w:p>
            <w:pPr>
              <w:spacing w:line="360" w:lineRule="auto"/>
              <w:ind w:firstLine="200"/>
              <w:rPr>
                <w:rFonts w:ascii="仿宋_GB2312" w:hAnsi="宋体" w:eastAsia="仿宋_GB2312"/>
                <w:szCs w:val="21"/>
              </w:rPr>
            </w:pPr>
            <w:r>
              <w:rPr>
                <w:rFonts w:hint="eastAsia" w:ascii="仿宋_GB2312" w:hAnsi="宋体" w:eastAsia="仿宋_GB2312"/>
                <w:szCs w:val="21"/>
              </w:rPr>
              <w:t>加强学校实验实训教学，提高学生的职业技能，增强学生的动手能力，促进学校职业资格鉴定工作的开展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60" w:type="dxa"/>
            <w:vAlign w:val="center"/>
          </w:tcPr>
          <w:p>
            <w:pPr>
              <w:snapToGrid w:val="0"/>
              <w:spacing w:line="360" w:lineRule="auto"/>
              <w:ind w:firstLine="200"/>
              <w:rPr>
                <w:rFonts w:ascii="仿宋_GB2312" w:hAnsi="宋体" w:eastAsia="仿宋_GB2312"/>
                <w:szCs w:val="21"/>
              </w:rPr>
            </w:pPr>
            <w:r>
              <w:rPr>
                <w:rFonts w:hint="eastAsia" w:ascii="仿宋_GB2312" w:hAnsi="宋体" w:eastAsia="仿宋_GB2312"/>
                <w:szCs w:val="21"/>
              </w:rPr>
              <w:t>4</w:t>
            </w:r>
          </w:p>
        </w:tc>
        <w:tc>
          <w:tcPr>
            <w:tcW w:w="2175" w:type="dxa"/>
            <w:vAlign w:val="center"/>
          </w:tcPr>
          <w:p>
            <w:pPr>
              <w:snapToGrid w:val="0"/>
              <w:spacing w:line="360" w:lineRule="auto"/>
              <w:jc w:val="center"/>
              <w:rPr>
                <w:rFonts w:ascii="仿宋_GB2312" w:hAnsi="宋体" w:eastAsia="仿宋_GB2312"/>
                <w:kern w:val="0"/>
                <w:szCs w:val="21"/>
              </w:rPr>
            </w:pPr>
            <w:r>
              <w:fldChar w:fldCharType="begin"/>
            </w:r>
            <w:r>
              <w:instrText xml:space="preserve"> HYPERLINK \l "_Toc345071560" </w:instrText>
            </w:r>
            <w:r>
              <w:fldChar w:fldCharType="separate"/>
            </w:r>
            <w:r>
              <w:rPr>
                <w:rFonts w:hint="eastAsia" w:ascii="仿宋_GB2312" w:hAnsi="宋体" w:eastAsia="仿宋_GB2312"/>
                <w:kern w:val="0"/>
                <w:szCs w:val="21"/>
              </w:rPr>
              <w:t>校内实训基地管理办法</w:t>
            </w:r>
            <w:r>
              <w:rPr>
                <w:rFonts w:hint="eastAsia" w:ascii="仿宋_GB2312" w:hAnsi="宋体" w:eastAsia="仿宋_GB2312"/>
                <w:kern w:val="0"/>
                <w:szCs w:val="21"/>
              </w:rPr>
              <w:fldChar w:fldCharType="end"/>
            </w:r>
          </w:p>
        </w:tc>
        <w:tc>
          <w:tcPr>
            <w:tcW w:w="5708" w:type="dxa"/>
            <w:vAlign w:val="center"/>
          </w:tcPr>
          <w:p>
            <w:pPr>
              <w:spacing w:line="360" w:lineRule="auto"/>
              <w:ind w:firstLine="200"/>
              <w:rPr>
                <w:rFonts w:ascii="仿宋_GB2312" w:hAnsi="宋体" w:eastAsia="仿宋_GB2312"/>
                <w:szCs w:val="21"/>
              </w:rPr>
            </w:pPr>
            <w:r>
              <w:rPr>
                <w:rFonts w:hint="eastAsia" w:ascii="仿宋_GB2312" w:hAnsi="宋体" w:eastAsia="仿宋_GB2312"/>
                <w:szCs w:val="21"/>
              </w:rPr>
              <w:t>为了实现实训教学工作的科学化、规范化管理,强化实训基地建设，建立良好的实训教学秩序，培养学生进行科学实训的能力,观察问题、分析问题和解决问题的能力，培养学生严肃认真的科学态度，树立“严谨、求实”的科学作风，保障学校的实训教学质量和提高科学研究水平，提高办学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60" w:type="dxa"/>
            <w:vAlign w:val="center"/>
          </w:tcPr>
          <w:p>
            <w:pPr>
              <w:snapToGrid w:val="0"/>
              <w:spacing w:line="360" w:lineRule="auto"/>
              <w:ind w:firstLine="200"/>
              <w:rPr>
                <w:rFonts w:ascii="仿宋_GB2312" w:hAnsi="宋体" w:eastAsia="仿宋_GB2312"/>
                <w:szCs w:val="21"/>
              </w:rPr>
            </w:pPr>
            <w:r>
              <w:rPr>
                <w:rFonts w:hint="eastAsia" w:ascii="仿宋_GB2312" w:hAnsi="宋体" w:eastAsia="仿宋_GB2312"/>
                <w:szCs w:val="21"/>
              </w:rPr>
              <w:t>5</w:t>
            </w:r>
          </w:p>
        </w:tc>
        <w:tc>
          <w:tcPr>
            <w:tcW w:w="2175" w:type="dxa"/>
            <w:vAlign w:val="center"/>
          </w:tcPr>
          <w:p>
            <w:pPr>
              <w:spacing w:line="360" w:lineRule="auto"/>
              <w:jc w:val="center"/>
              <w:rPr>
                <w:rFonts w:ascii="仿宋_GB2312" w:hAnsi="宋体" w:eastAsia="仿宋_GB2312"/>
                <w:kern w:val="0"/>
                <w:szCs w:val="21"/>
              </w:rPr>
            </w:pPr>
            <w:r>
              <w:fldChar w:fldCharType="begin"/>
            </w:r>
            <w:r>
              <w:instrText xml:space="preserve"> HYPERLINK \l "_Toc345071561" </w:instrText>
            </w:r>
            <w:r>
              <w:fldChar w:fldCharType="separate"/>
            </w:r>
            <w:r>
              <w:rPr>
                <w:rFonts w:hint="eastAsia" w:ascii="仿宋_GB2312" w:hAnsi="宋体" w:eastAsia="仿宋_GB2312"/>
                <w:kern w:val="0"/>
                <w:szCs w:val="21"/>
              </w:rPr>
              <w:t>实训室管理办法</w:t>
            </w:r>
            <w:r>
              <w:rPr>
                <w:rFonts w:hint="eastAsia" w:ascii="仿宋_GB2312" w:hAnsi="宋体" w:eastAsia="仿宋_GB2312"/>
                <w:kern w:val="0"/>
                <w:szCs w:val="21"/>
              </w:rPr>
              <w:fldChar w:fldCharType="end"/>
            </w:r>
          </w:p>
        </w:tc>
        <w:tc>
          <w:tcPr>
            <w:tcW w:w="5708" w:type="dxa"/>
            <w:vAlign w:val="center"/>
          </w:tcPr>
          <w:p>
            <w:pPr>
              <w:spacing w:line="360" w:lineRule="auto"/>
              <w:ind w:firstLine="200"/>
              <w:rPr>
                <w:rFonts w:ascii="仿宋_GB2312" w:hAnsi="宋体" w:eastAsia="仿宋_GB2312"/>
                <w:szCs w:val="21"/>
              </w:rPr>
            </w:pPr>
            <w:r>
              <w:rPr>
                <w:rFonts w:hint="eastAsia" w:ascii="仿宋_GB2312" w:hAnsi="宋体" w:eastAsia="仿宋_GB2312"/>
                <w:kern w:val="0"/>
                <w:szCs w:val="21"/>
              </w:rPr>
              <w:t>强化安全意识，完善安全措施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60" w:type="dxa"/>
            <w:vAlign w:val="center"/>
          </w:tcPr>
          <w:p>
            <w:pPr>
              <w:snapToGrid w:val="0"/>
              <w:spacing w:line="360" w:lineRule="auto"/>
              <w:ind w:firstLine="200"/>
              <w:rPr>
                <w:rFonts w:ascii="仿宋_GB2312" w:hAnsi="宋体" w:eastAsia="仿宋_GB2312"/>
                <w:szCs w:val="21"/>
              </w:rPr>
            </w:pPr>
            <w:r>
              <w:rPr>
                <w:rFonts w:hint="eastAsia" w:ascii="仿宋_GB2312" w:hAnsi="宋体" w:eastAsia="仿宋_GB2312"/>
                <w:szCs w:val="21"/>
              </w:rPr>
              <w:t>6</w:t>
            </w:r>
          </w:p>
        </w:tc>
        <w:tc>
          <w:tcPr>
            <w:tcW w:w="2175" w:type="dxa"/>
            <w:vAlign w:val="center"/>
          </w:tcPr>
          <w:p>
            <w:pPr>
              <w:snapToGrid w:val="0"/>
              <w:spacing w:line="360" w:lineRule="auto"/>
              <w:jc w:val="center"/>
              <w:rPr>
                <w:rFonts w:ascii="仿宋_GB2312" w:hAnsi="宋体" w:eastAsia="仿宋_GB2312"/>
                <w:kern w:val="0"/>
                <w:szCs w:val="21"/>
              </w:rPr>
            </w:pPr>
            <w:r>
              <w:fldChar w:fldCharType="begin"/>
            </w:r>
            <w:r>
              <w:instrText xml:space="preserve"> HYPERLINK \l "_Toc345071563" </w:instrText>
            </w:r>
            <w:r>
              <w:fldChar w:fldCharType="separate"/>
            </w:r>
            <w:r>
              <w:rPr>
                <w:rFonts w:hint="eastAsia" w:ascii="仿宋_GB2312" w:hAnsi="宋体" w:eastAsia="仿宋_GB2312"/>
                <w:kern w:val="0"/>
                <w:szCs w:val="21"/>
              </w:rPr>
              <w:t>设备管理办法</w:t>
            </w:r>
            <w:r>
              <w:rPr>
                <w:rFonts w:hint="eastAsia" w:ascii="仿宋_GB2312" w:hAnsi="宋体" w:eastAsia="仿宋_GB2312"/>
                <w:kern w:val="0"/>
                <w:szCs w:val="21"/>
              </w:rPr>
              <w:fldChar w:fldCharType="end"/>
            </w:r>
          </w:p>
        </w:tc>
        <w:tc>
          <w:tcPr>
            <w:tcW w:w="5708" w:type="dxa"/>
            <w:vAlign w:val="center"/>
          </w:tcPr>
          <w:p>
            <w:pPr>
              <w:spacing w:line="360" w:lineRule="auto"/>
              <w:ind w:firstLine="200"/>
              <w:rPr>
                <w:rFonts w:ascii="仿宋_GB2312" w:hAnsi="宋体" w:eastAsia="仿宋_GB2312"/>
                <w:szCs w:val="21"/>
              </w:rPr>
            </w:pPr>
            <w:r>
              <w:rPr>
                <w:rFonts w:hint="eastAsia" w:ascii="仿宋_GB2312" w:hAnsi="宋体" w:eastAsia="仿宋_GB2312"/>
                <w:szCs w:val="21"/>
              </w:rPr>
              <w:t>贯彻勤俭办学方针，树立为教学、科研服务的思想，逐步充实和更新，并加强仪器设备的管理，提高使用效率和投资效益，以满足教学、科研的需要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60" w:type="dxa"/>
            <w:vAlign w:val="center"/>
          </w:tcPr>
          <w:p>
            <w:pPr>
              <w:snapToGrid w:val="0"/>
              <w:spacing w:line="360" w:lineRule="auto"/>
              <w:ind w:firstLine="200"/>
              <w:rPr>
                <w:rFonts w:ascii="仿宋_GB2312" w:hAnsi="宋体" w:eastAsia="仿宋_GB2312"/>
                <w:szCs w:val="21"/>
              </w:rPr>
            </w:pPr>
            <w:r>
              <w:rPr>
                <w:rFonts w:hint="eastAsia" w:ascii="仿宋_GB2312" w:hAnsi="宋体" w:eastAsia="仿宋_GB2312"/>
                <w:szCs w:val="21"/>
              </w:rPr>
              <w:t>7</w:t>
            </w:r>
          </w:p>
        </w:tc>
        <w:tc>
          <w:tcPr>
            <w:tcW w:w="2175" w:type="dxa"/>
            <w:vAlign w:val="center"/>
          </w:tcPr>
          <w:p>
            <w:pPr>
              <w:snapToGrid w:val="0"/>
              <w:spacing w:line="360" w:lineRule="auto"/>
              <w:jc w:val="center"/>
              <w:rPr>
                <w:rFonts w:ascii="仿宋_GB2312" w:hAnsi="宋体" w:eastAsia="仿宋_GB2312"/>
                <w:kern w:val="0"/>
                <w:szCs w:val="21"/>
              </w:rPr>
            </w:pPr>
            <w:r>
              <w:fldChar w:fldCharType="begin"/>
            </w:r>
            <w:r>
              <w:instrText xml:space="preserve"> HYPERLINK \l "_Toc345071564" </w:instrText>
            </w:r>
            <w:r>
              <w:fldChar w:fldCharType="separate"/>
            </w:r>
            <w:r>
              <w:rPr>
                <w:rFonts w:hint="eastAsia" w:ascii="仿宋_GB2312" w:hAnsi="宋体" w:eastAsia="仿宋_GB2312"/>
                <w:kern w:val="0"/>
                <w:szCs w:val="21"/>
              </w:rPr>
              <w:t>实训基地材料、低值品、易耗品，危险品管理办法</w:t>
            </w:r>
            <w:r>
              <w:rPr>
                <w:rFonts w:hint="eastAsia" w:ascii="仿宋_GB2312" w:hAnsi="宋体" w:eastAsia="仿宋_GB2312"/>
                <w:kern w:val="0"/>
                <w:szCs w:val="21"/>
              </w:rPr>
              <w:fldChar w:fldCharType="end"/>
            </w:r>
          </w:p>
        </w:tc>
        <w:tc>
          <w:tcPr>
            <w:tcW w:w="5708" w:type="dxa"/>
            <w:vAlign w:val="center"/>
          </w:tcPr>
          <w:p>
            <w:pPr>
              <w:spacing w:line="360" w:lineRule="auto"/>
              <w:ind w:firstLine="200"/>
              <w:rPr>
                <w:rFonts w:ascii="仿宋_GB2312" w:hAnsi="宋体" w:eastAsia="仿宋_GB2312"/>
                <w:szCs w:val="21"/>
              </w:rPr>
            </w:pPr>
            <w:r>
              <w:rPr>
                <w:rFonts w:hint="eastAsia" w:ascii="仿宋_GB2312" w:hAnsi="宋体" w:eastAsia="仿宋_GB2312"/>
                <w:szCs w:val="21"/>
              </w:rPr>
              <w:t>为了贯彻勤俭办学的方针，加强学校实训基地的材料、低值品、易耗品、危险品(以下筒称物品)的科学管理及合理使用，保证教学、科研和生产等工作的顺利进行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0" w:type="dxa"/>
            <w:vAlign w:val="center"/>
          </w:tcPr>
          <w:p>
            <w:pPr>
              <w:snapToGrid w:val="0"/>
              <w:spacing w:line="360" w:lineRule="auto"/>
              <w:ind w:firstLine="200"/>
              <w:rPr>
                <w:rFonts w:ascii="仿宋_GB2312" w:hAnsi="宋体" w:eastAsia="仿宋_GB2312"/>
                <w:szCs w:val="21"/>
              </w:rPr>
            </w:pPr>
            <w:r>
              <w:rPr>
                <w:rFonts w:ascii="仿宋_GB2312" w:hAnsi="宋体" w:eastAsia="仿宋_GB2312"/>
                <w:szCs w:val="21"/>
              </w:rPr>
              <w:t>8</w:t>
            </w:r>
          </w:p>
        </w:tc>
        <w:tc>
          <w:tcPr>
            <w:tcW w:w="2175" w:type="dxa"/>
            <w:vAlign w:val="center"/>
          </w:tcPr>
          <w:p>
            <w:pPr>
              <w:snapToGrid w:val="0"/>
              <w:spacing w:line="360" w:lineRule="auto"/>
              <w:jc w:val="center"/>
              <w:rPr>
                <w:rFonts w:ascii="仿宋_GB2312" w:hAnsi="宋体" w:eastAsia="仿宋_GB2312"/>
                <w:kern w:val="0"/>
                <w:szCs w:val="21"/>
              </w:rPr>
            </w:pPr>
            <w:r>
              <w:rPr>
                <w:rFonts w:hint="eastAsia" w:ascii="仿宋_GB2312" w:hAnsi="宋体" w:eastAsia="仿宋_GB2312"/>
                <w:kern w:val="0"/>
                <w:szCs w:val="21"/>
              </w:rPr>
              <w:t>实训基地档案管理办法</w:t>
            </w:r>
          </w:p>
        </w:tc>
        <w:tc>
          <w:tcPr>
            <w:tcW w:w="5708" w:type="dxa"/>
            <w:vAlign w:val="center"/>
          </w:tcPr>
          <w:p>
            <w:pPr>
              <w:spacing w:line="360" w:lineRule="auto"/>
              <w:ind w:firstLine="200"/>
              <w:rPr>
                <w:rFonts w:ascii="仿宋_GB2312" w:hAnsi="宋体" w:eastAsia="仿宋_GB2312"/>
                <w:szCs w:val="21"/>
              </w:rPr>
            </w:pPr>
            <w:r>
              <w:rPr>
                <w:rFonts w:hint="eastAsia" w:ascii="仿宋_GB2312" w:hAnsi="宋体" w:eastAsia="仿宋_GB2312"/>
                <w:szCs w:val="21"/>
              </w:rPr>
              <w:t>科学规范地做好实训室工作的档案管理及基本信息的收集、整理工作，</w:t>
            </w:r>
          </w:p>
        </w:tc>
      </w:tr>
      <w:bookmarkEnd w:id="7"/>
    </w:tbl>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4、教学方法</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本专业教学安排坚持学历教育与岗位培训相融合、职业能力与职业素养兼顾，结合各学校具体情况，有针对性地培养系统化设计人才培养方案。</w:t>
      </w:r>
    </w:p>
    <w:p>
      <w:pPr>
        <w:overflowPunct w:val="0"/>
        <w:spacing w:line="360" w:lineRule="auto"/>
        <w:ind w:firstLine="340" w:firstLineChars="142"/>
        <w:rPr>
          <w:rFonts w:ascii="仿宋_GB2312" w:eastAsia="仿宋_GB2312"/>
          <w:color w:val="FF0000"/>
          <w:sz w:val="24"/>
          <w:szCs w:val="30"/>
        </w:rPr>
      </w:pPr>
      <w:r>
        <w:rPr>
          <w:rFonts w:hint="eastAsia" w:ascii="仿宋_GB2312" w:eastAsia="仿宋_GB2312"/>
          <w:sz w:val="24"/>
          <w:szCs w:val="30"/>
        </w:rPr>
        <w:t>1）</w:t>
      </w:r>
      <w:r>
        <w:rPr>
          <w:rFonts w:ascii="仿宋_GB2312" w:eastAsia="仿宋_GB2312"/>
          <w:sz w:val="24"/>
          <w:szCs w:val="30"/>
        </w:rPr>
        <w:t>公共基础课教学要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坚持“德技并重”的培养原则，提高学生的综合素质，首先要培养学生做守法合格的公民，其次培养学生掌握一技之长的本领。学校应立德树人，把德育工作放在首位，突出以诚信、敬业为重点的职业道德教育。</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3）以职业岗位需求为依据，专业核心课程采用“项目化实训教学”教学模式，其他课程采用项目引导教学模式。以工作过程为基础，通过项目化实训，让学生以企业员工身份参加“企业”工作接受企业管理。以工作情境为支撑，实施“一体化”的实践教学，体验真正的工作情境。以职业生涯为背景，通过到制造企业实习，体验真实的职业氛围，体验营销与策划的职业生涯。使学生在实践中能够认识专业，了解其基本工作原理及使用中的问题。使学生在校期间能真正体验到职业情境，并把学生在企业顶岗实习的真实工作体验后对专业教学新要求的信息反馈，为今后的专业建设提供职业信息。</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4）加强实训基础设施和实训室的建设管理。培养学生的动手操作能力。因此学校要随着社会发展和企业需要更新教学基础设施，提高实训课的开出率，走产教研相结合的道路，探索职业教育的新模式。</w:t>
      </w:r>
    </w:p>
    <w:p>
      <w:pPr>
        <w:overflowPunct w:val="0"/>
        <w:spacing w:line="360" w:lineRule="auto"/>
        <w:ind w:firstLine="340" w:firstLineChars="142"/>
        <w:rPr>
          <w:rFonts w:ascii="仿宋_GB2312" w:eastAsia="仿宋_GB2312"/>
          <w:sz w:val="24"/>
          <w:szCs w:val="30"/>
        </w:rPr>
      </w:pPr>
      <w:r>
        <w:rPr>
          <w:rFonts w:ascii="仿宋_GB2312" w:eastAsia="仿宋_GB2312"/>
          <w:sz w:val="24"/>
          <w:szCs w:val="30"/>
        </w:rPr>
        <w:t>5</w:t>
      </w:r>
      <w:r>
        <w:rPr>
          <w:rFonts w:hint="eastAsia" w:ascii="仿宋_GB2312" w:eastAsia="仿宋_GB2312"/>
          <w:sz w:val="24"/>
          <w:szCs w:val="30"/>
        </w:rPr>
        <w:t>）积极推行新型教学方法。积极进行教学改革，研究了解学生的心理特点和接受能力，使用学生喜闻乐见的教学方法，充分利用各种教学资源，注重实际工作任务情境的模拟，以行动导向为主的项目教学法、案例教学法和情景教学法等方法，提高课堂教学效率。</w:t>
      </w:r>
    </w:p>
    <w:p>
      <w:pPr>
        <w:pStyle w:val="25"/>
        <w:spacing w:line="360" w:lineRule="auto"/>
        <w:ind w:firstLine="403" w:firstLineChars="168"/>
        <w:jc w:val="left"/>
        <w:rPr>
          <w:rFonts w:hAnsi="宋体"/>
        </w:rPr>
      </w:pPr>
      <w:r>
        <w:rPr>
          <w:rFonts w:hint="eastAsia" w:ascii="仿宋" w:hAnsi="仿宋" w:eastAsia="仿宋"/>
        </w:rPr>
        <w:t>①</w:t>
      </w:r>
      <w:r>
        <w:rPr>
          <w:rFonts w:hint="eastAsia" w:hAnsi="宋体"/>
        </w:rPr>
        <w:t>任务驱动法，在本课程中主要提现教学设计、教学实施中，是教学的总指导方法。</w:t>
      </w:r>
    </w:p>
    <w:p>
      <w:pPr>
        <w:pStyle w:val="25"/>
        <w:spacing w:line="360" w:lineRule="auto"/>
        <w:ind w:firstLine="403" w:firstLineChars="168"/>
        <w:jc w:val="left"/>
        <w:rPr>
          <w:rFonts w:ascii="仿宋" w:hAnsi="仿宋" w:eastAsia="仿宋"/>
        </w:rPr>
      </w:pPr>
      <w:r>
        <w:rPr>
          <w:rFonts w:hint="eastAsia" w:ascii="仿宋" w:hAnsi="仿宋" w:eastAsia="仿宋"/>
        </w:rPr>
        <w:t>②仿真教学法，在于教学内容来源于真实的工作。仿真经济业务。课程所涉及的经济业务都选取自企业的真实经济业务。并进行了典型性、代表性的提炼。仿真单据。经济业务的展示不采取文字描述，而是根据真实工作环境以仿真单据的形式展现经济业务。要求学生根据仿真单据分析经济业务的内容，确定解决的方法。仿真凭证帐页。在展示工作业务流程的过程中，使用的也是仿真的凭证、帐页。</w:t>
      </w:r>
    </w:p>
    <w:p>
      <w:pPr>
        <w:pStyle w:val="25"/>
        <w:spacing w:line="360" w:lineRule="auto"/>
        <w:ind w:firstLine="403" w:firstLineChars="168"/>
        <w:jc w:val="left"/>
        <w:rPr>
          <w:rFonts w:ascii="仿宋" w:hAnsi="仿宋" w:eastAsia="仿宋"/>
        </w:rPr>
      </w:pPr>
      <w:r>
        <w:rPr>
          <w:rFonts w:hint="eastAsia" w:ascii="仿宋" w:hAnsi="仿宋" w:eastAsia="仿宋"/>
        </w:rPr>
        <w:t>③角色扮演教学法，在课程开发过程中，为了增加学生在课程学习中的主动性，找准自己在课程学习中的地位。为学生在课程中设计了一个虚拟的身份。</w:t>
      </w:r>
    </w:p>
    <w:p>
      <w:pPr>
        <w:pStyle w:val="25"/>
        <w:spacing w:line="360" w:lineRule="auto"/>
        <w:ind w:firstLine="403" w:firstLineChars="168"/>
        <w:jc w:val="left"/>
        <w:rPr>
          <w:rFonts w:ascii="仿宋" w:hAnsi="仿宋" w:eastAsia="仿宋"/>
        </w:rPr>
      </w:pPr>
      <w:r>
        <w:rPr>
          <w:rFonts w:hint="eastAsia" w:ascii="仿宋" w:hAnsi="仿宋" w:eastAsia="仿宋"/>
        </w:rPr>
        <w:t>④讨论教学法，讨论主要用在知识学习和业务处理程序分析中。是由单纯的教师占主导地位的讲授，变为学生为课堂的主体。</w:t>
      </w:r>
    </w:p>
    <w:p>
      <w:pPr>
        <w:pStyle w:val="25"/>
        <w:spacing w:line="360" w:lineRule="auto"/>
        <w:ind w:firstLine="403" w:firstLineChars="168"/>
        <w:jc w:val="left"/>
        <w:rPr>
          <w:szCs w:val="30"/>
        </w:rPr>
      </w:pPr>
      <w:r>
        <w:rPr>
          <w:rFonts w:hint="eastAsia" w:ascii="仿宋" w:hAnsi="仿宋" w:eastAsia="仿宋"/>
        </w:rPr>
        <w:t>⑤案例分析教学法，课程的案例分析主要应用在有法律法规约束的工作程序，案例以见诸于公众媒体的真案为主。以开放式分析为主，不以统一设问约束学生的思维。</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4）制定并完善各环节的规章制度。从学生的日常行为规范，到学校的各种评价考核制度，各个环节的规章制度应该严格质量标准，认真执行落实标准，依靠制度管理和约束师生的行为。学校应积极探索符合职业教育规律和特点的考核形式、方法与手段的改革，有效地促进教学。</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5、学习评价</w:t>
      </w:r>
    </w:p>
    <w:p>
      <w:pPr>
        <w:pStyle w:val="25"/>
        <w:spacing w:line="360" w:lineRule="auto"/>
        <w:ind w:firstLine="480"/>
        <w:jc w:val="left"/>
        <w:rPr>
          <w:szCs w:val="30"/>
        </w:rPr>
      </w:pPr>
      <w:r>
        <w:rPr>
          <w:rFonts w:hint="eastAsia" w:hAnsi="宋体"/>
          <w:szCs w:val="24"/>
        </w:rPr>
        <w:t>根据会计电算化专业培养目标，师生双方边教、边学、边做、理论与实践交替进行。会计电算化专业核心课程采用了理论实践一体化教学。</w:t>
      </w:r>
      <w:r>
        <w:rPr>
          <w:rFonts w:hint="eastAsia"/>
          <w:szCs w:val="30"/>
        </w:rPr>
        <w:t>采用过程性考核和课程结业考核相结合的考核方式。课程总成绩为100分，其中过程性考核占总成绩的60%，课程结业考核占总成绩的40%；总成绩60分为及格。</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1）过程性考核主要包括以下内容：</w:t>
      </w:r>
    </w:p>
    <w:p>
      <w:pPr>
        <w:overflowPunct w:val="0"/>
        <w:spacing w:line="360" w:lineRule="auto"/>
        <w:ind w:firstLine="566" w:firstLineChars="236"/>
        <w:rPr>
          <w:rFonts w:ascii="仿宋_GB2312" w:eastAsia="仿宋_GB2312"/>
          <w:sz w:val="24"/>
          <w:szCs w:val="30"/>
        </w:rPr>
      </w:pPr>
      <w:r>
        <w:rPr>
          <w:rFonts w:hint="eastAsia" w:ascii="仿宋_GB2312" w:eastAsia="仿宋_GB2312"/>
          <w:sz w:val="24"/>
          <w:szCs w:val="30"/>
        </w:rPr>
        <w:t>①学习态度（30%）：主要包括出勤率、听课情况、课堂讨论、发言、提问、作业等。</w:t>
      </w:r>
    </w:p>
    <w:p>
      <w:pPr>
        <w:overflowPunct w:val="0"/>
        <w:spacing w:line="360" w:lineRule="auto"/>
        <w:ind w:firstLine="566" w:firstLineChars="236"/>
        <w:rPr>
          <w:rFonts w:ascii="仿宋_GB2312" w:eastAsia="仿宋_GB2312"/>
          <w:sz w:val="24"/>
          <w:szCs w:val="30"/>
        </w:rPr>
      </w:pPr>
      <w:r>
        <w:rPr>
          <w:rFonts w:hint="eastAsia" w:ascii="仿宋" w:hAnsi="仿宋" w:eastAsia="仿宋"/>
          <w:sz w:val="24"/>
          <w:szCs w:val="30"/>
        </w:rPr>
        <w:t>②</w:t>
      </w:r>
      <w:r>
        <w:rPr>
          <w:rFonts w:hint="eastAsia" w:ascii="仿宋_GB2312" w:eastAsia="仿宋_GB2312"/>
          <w:sz w:val="24"/>
          <w:szCs w:val="30"/>
        </w:rPr>
        <w:t>岗位技能操作（40%）：主要包括施工准备、操作规范程度、熟练程度、成果等。</w:t>
      </w:r>
    </w:p>
    <w:p>
      <w:pPr>
        <w:overflowPunct w:val="0"/>
        <w:spacing w:line="360" w:lineRule="auto"/>
        <w:ind w:firstLine="566" w:firstLineChars="236"/>
        <w:rPr>
          <w:rFonts w:ascii="仿宋_GB2312" w:eastAsia="仿宋_GB2312"/>
          <w:sz w:val="24"/>
          <w:szCs w:val="30"/>
        </w:rPr>
      </w:pPr>
      <w:r>
        <w:rPr>
          <w:rFonts w:hint="eastAsia" w:ascii="仿宋" w:hAnsi="仿宋" w:eastAsia="仿宋"/>
          <w:sz w:val="24"/>
          <w:szCs w:val="30"/>
        </w:rPr>
        <w:t>③</w:t>
      </w:r>
      <w:r>
        <w:rPr>
          <w:rFonts w:hint="eastAsia" w:ascii="仿宋_GB2312" w:eastAsia="仿宋_GB2312"/>
          <w:sz w:val="24"/>
          <w:szCs w:val="30"/>
        </w:rPr>
        <w:t>单元测试（30%）：教师可采用单元测试题库组织进行，也可以根据单元项目内容结合实际案例由学生完成相应的成果等。</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2）课程结业考核：可采用笔试、现场实操、答辩、论文等多种形式。</w:t>
      </w:r>
    </w:p>
    <w:p>
      <w:pPr>
        <w:overflowPunct w:val="0"/>
        <w:spacing w:line="360" w:lineRule="auto"/>
        <w:ind w:firstLine="580" w:firstLineChars="242"/>
        <w:rPr>
          <w:rFonts w:ascii="仿宋_GB2312" w:eastAsia="仿宋_GB2312"/>
          <w:sz w:val="24"/>
          <w:szCs w:val="30"/>
        </w:rPr>
      </w:pPr>
      <w:bookmarkStart w:id="8" w:name="_Toc296503805"/>
      <w:r>
        <w:rPr>
          <w:rFonts w:ascii="仿宋_GB2312" w:eastAsia="仿宋_GB2312"/>
          <w:sz w:val="24"/>
          <w:szCs w:val="30"/>
        </w:rPr>
        <w:t>3</w:t>
      </w:r>
      <w:r>
        <w:rPr>
          <w:rFonts w:hint="eastAsia" w:ascii="仿宋_GB2312" w:eastAsia="仿宋_GB2312"/>
          <w:sz w:val="24"/>
          <w:szCs w:val="30"/>
        </w:rPr>
        <w:t>）组织流程</w:t>
      </w:r>
      <w:bookmarkEnd w:id="8"/>
    </w:p>
    <w:p>
      <w:pPr>
        <w:pStyle w:val="25"/>
        <w:spacing w:line="360" w:lineRule="auto"/>
        <w:ind w:firstLine="720" w:firstLineChars="300"/>
        <w:jc w:val="left"/>
        <w:rPr>
          <w:rFonts w:hAnsi="宋体"/>
        </w:rPr>
      </w:pPr>
      <w:r>
        <w:rPr>
          <w:rFonts w:hint="eastAsia" w:ascii="仿宋" w:hAnsi="仿宋" w:eastAsia="仿宋"/>
          <w:szCs w:val="24"/>
        </w:rPr>
        <w:t>①</w:t>
      </w:r>
      <w:r>
        <w:rPr>
          <w:rFonts w:hint="eastAsia" w:hAnsi="宋体"/>
          <w:szCs w:val="24"/>
        </w:rPr>
        <w:t>针对会计的学习性工作任务，设计工作信息表，下发工作信息表，由</w:t>
      </w:r>
      <w:r>
        <w:rPr>
          <w:rFonts w:hint="eastAsia" w:hAnsi="宋体"/>
        </w:rPr>
        <w:t>教师进行任务引出。</w:t>
      </w:r>
    </w:p>
    <w:p>
      <w:pPr>
        <w:pStyle w:val="25"/>
        <w:spacing w:line="360" w:lineRule="auto"/>
        <w:ind w:firstLine="720" w:firstLineChars="300"/>
        <w:jc w:val="left"/>
        <w:rPr>
          <w:rFonts w:ascii="仿宋" w:hAnsi="仿宋" w:eastAsia="仿宋"/>
          <w:szCs w:val="24"/>
        </w:rPr>
      </w:pPr>
      <w:r>
        <w:rPr>
          <w:rFonts w:hint="eastAsia" w:ascii="仿宋" w:hAnsi="仿宋" w:eastAsia="仿宋"/>
          <w:szCs w:val="24"/>
        </w:rPr>
        <w:t>②学生进行分组，以小组为单位进行任务的计划制定，由学生完成实施工作计划表</w:t>
      </w:r>
    </w:p>
    <w:p>
      <w:pPr>
        <w:pStyle w:val="25"/>
        <w:spacing w:line="360" w:lineRule="auto"/>
        <w:ind w:firstLine="720" w:firstLineChars="300"/>
        <w:jc w:val="left"/>
        <w:rPr>
          <w:rFonts w:ascii="仿宋" w:hAnsi="仿宋" w:eastAsia="仿宋"/>
          <w:szCs w:val="24"/>
        </w:rPr>
      </w:pPr>
      <w:r>
        <w:rPr>
          <w:rFonts w:hint="eastAsia" w:ascii="仿宋" w:hAnsi="仿宋" w:eastAsia="仿宋"/>
          <w:szCs w:val="24"/>
        </w:rPr>
        <w:t>③根据实施工作计划表，制定工作操作流程表。</w:t>
      </w:r>
    </w:p>
    <w:p>
      <w:pPr>
        <w:pStyle w:val="25"/>
        <w:spacing w:line="360" w:lineRule="auto"/>
        <w:ind w:firstLine="720" w:firstLineChars="300"/>
        <w:jc w:val="left"/>
        <w:rPr>
          <w:rFonts w:hAnsi="宋体"/>
          <w:szCs w:val="24"/>
        </w:rPr>
      </w:pPr>
      <w:r>
        <w:rPr>
          <w:rFonts w:hint="eastAsia" w:ascii="仿宋" w:hAnsi="仿宋" w:eastAsia="仿宋"/>
          <w:szCs w:val="24"/>
        </w:rPr>
        <w:t>④进行任务完成效果展示，同时对学习效果检查与评价，通过学生自评，小组互评，老师对学生任务完成效果与实施过程进行形成性鉴定。</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6、质量管理</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1）计划编制按照专业培养目标的总体要求，本着由目标岗位定工作范围、由工作范围规范知识结构、能力结构的原则，设计教学过程，编制教学计划。</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2）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教学能力的提升，保证教学质量。</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3)打破理论课、实验课和实训课的界限，将课程的理论教学、实践教学、生产、技术服务融于一体。教学过程由学校教师和企业兼职教师共同完成，教学场所直接安排在仿真实训室，教学内容以任务驱动。在教学中教师边教、学生边学、边做，理论和实践交替进行，直观和抽象交错出现，没有固定的先实后理或先理后实，而理中有实，实中有理，突出学生动手能力和专业技能的培养，充分调动和激发学生学习兴趣。</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4)采用了以项目为引导、以任务为驱动的核心课程的理实一体化教材。教材根据教学目标和任务，将各个知识点分解实践训练任务，有计划地开展技能训练。在训练中让学生知其然。教师将学生实践中出现的问题，用专业理论知识来加以解释，使学生知其所以然，从而实现理论与实践的有机结合。这几本教材以能力为本位，以职业实践为主线，以任务驱动为主体，对课程内容进行重新序化，创新整合，校本教材充分体现了“教、学、做合一”的职教思想，实用性强，深受教师和学生的欢迎。</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5</w:t>
      </w:r>
      <w:r>
        <w:rPr>
          <w:rFonts w:hint="eastAsia" w:ascii="仿宋_GB2312" w:eastAsia="仿宋_GB2312"/>
          <w:sz w:val="24"/>
          <w:szCs w:val="30"/>
        </w:rPr>
        <w:t>）加强各项教学管理规章制度建设，教学管理文件规范。完善教学质量监控与保障体系；形成教学督导、教师、学生、社会教学评价体系以及完整的信息反馈系统；建立可行的激励机制和奖惩制度；加强对毕业生质量跟踪调查和收集企业对专业人才需求反馈的信息。</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6）坚持德育为先，能力为重。把社会主义核心价值体系融入教育教学全过程，着力培养学生的职业道德、职业技能和就业创业能力。</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7</w:t>
      </w:r>
      <w:r>
        <w:rPr>
          <w:rFonts w:hint="eastAsia" w:ascii="仿宋_GB2312" w:eastAsia="仿宋_GB2312"/>
          <w:sz w:val="24"/>
          <w:szCs w:val="30"/>
        </w:rPr>
        <w:t>）坚持产教融合、校企合作。实现专业设置与职业岗位、专业课程内容与职业标准、教学过程与生产过程的深度对接。以职业资格标准为制订专业教学标准的重要依据，努力满足行业科技进步、劳动组织优化、经营管理方式转变和产业文化对技能型人才的新要求。</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8</w:t>
      </w:r>
      <w:r>
        <w:rPr>
          <w:rFonts w:hint="eastAsia" w:ascii="仿宋_GB2312" w:eastAsia="仿宋_GB2312"/>
          <w:sz w:val="24"/>
          <w:szCs w:val="30"/>
        </w:rPr>
        <w:t>）坚持工学结合、教学做合一的人才培养模式。注重“做中学、做中教”，重视理论实践一体化教学，强调实训和实习等教学环节，突出职教特色。</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9</w:t>
      </w:r>
      <w:r>
        <w:rPr>
          <w:rFonts w:hint="eastAsia" w:ascii="仿宋_GB2312" w:eastAsia="仿宋_GB2312"/>
          <w:sz w:val="24"/>
          <w:szCs w:val="30"/>
        </w:rPr>
        <w:t>）坚持整体规划、系统培养，促进学生的终身学习和全面发展。正确处理公共基础课程与专业技能课程之间的关系，合理确定学时比例，严格教学评价，注重中高职课程衔接。</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10</w:t>
      </w:r>
      <w:r>
        <w:rPr>
          <w:rFonts w:hint="eastAsia" w:ascii="仿宋_GB2312" w:eastAsia="仿宋_GB2312"/>
          <w:sz w:val="24"/>
          <w:szCs w:val="30"/>
        </w:rPr>
        <w:t>）坚持先进性和可行性，遵循专业建设规律。注重吸收职业教育专业建设、课程教学改革优秀成果，借鉴国外先进经验，兼顾行业发展实际和职业教育现状。</w:t>
      </w:r>
    </w:p>
    <w:p>
      <w:pPr>
        <w:overflowPunct w:val="0"/>
        <w:spacing w:line="360" w:lineRule="auto"/>
        <w:ind w:firstLine="580" w:firstLineChars="242"/>
        <w:rPr>
          <w:rFonts w:ascii="仿宋_GB2312" w:eastAsia="仿宋_GB2312"/>
          <w:sz w:val="24"/>
          <w:szCs w:val="30"/>
        </w:rPr>
      </w:pPr>
      <w:r>
        <w:rPr>
          <w:rFonts w:ascii="仿宋_GB2312" w:eastAsia="仿宋_GB2312"/>
          <w:sz w:val="24"/>
          <w:szCs w:val="30"/>
        </w:rPr>
        <w:t>11</w:t>
      </w:r>
      <w:r>
        <w:rPr>
          <w:rFonts w:hint="eastAsia" w:ascii="仿宋_GB2312" w:eastAsia="仿宋_GB2312"/>
          <w:sz w:val="24"/>
          <w:szCs w:val="30"/>
        </w:rPr>
        <w:t>）在实施时依据本计划结合不同入学年份的学</w:t>
      </w:r>
      <w:r>
        <w:rPr>
          <w:rFonts w:ascii="仿宋_GB2312" w:eastAsia="仿宋_GB2312"/>
          <w:sz w:val="24"/>
          <w:szCs w:val="30"/>
        </w:rPr>
        <w:t>生</w:t>
      </w:r>
      <w:r>
        <w:rPr>
          <w:rFonts w:hint="eastAsia" w:ascii="仿宋_GB2312" w:eastAsia="仿宋_GB2312"/>
          <w:sz w:val="24"/>
          <w:szCs w:val="30"/>
        </w:rPr>
        <w:t>编制专业实施性教学计划，实施性教学计划相对于本计划有不超过10%的上下活动范围。根据社会需求的变化及教育教学改革的深入进行，所开设的课程及实践教学环节可作适当调整。</w:t>
      </w:r>
    </w:p>
    <w:p>
      <w:pPr>
        <w:overflowPunct w:val="0"/>
        <w:spacing w:line="360" w:lineRule="auto"/>
        <w:ind w:firstLine="580" w:firstLineChars="242"/>
        <w:rPr>
          <w:rFonts w:ascii="仿宋_GB2312" w:eastAsia="仿宋_GB2312"/>
          <w:sz w:val="24"/>
          <w:szCs w:val="30"/>
        </w:rPr>
      </w:pPr>
      <w:r>
        <w:rPr>
          <w:rFonts w:hint="eastAsia" w:ascii="仿宋_GB2312" w:eastAsia="仿宋_GB2312"/>
          <w:sz w:val="24"/>
          <w:szCs w:val="30"/>
        </w:rPr>
        <w:t>1</w:t>
      </w:r>
      <w:r>
        <w:rPr>
          <w:rFonts w:ascii="仿宋_GB2312" w:eastAsia="仿宋_GB2312"/>
          <w:sz w:val="24"/>
          <w:szCs w:val="30"/>
        </w:rPr>
        <w:t>2</w:t>
      </w:r>
      <w:r>
        <w:rPr>
          <w:rFonts w:hint="eastAsia" w:ascii="仿宋_GB2312" w:eastAsia="仿宋_GB2312"/>
          <w:sz w:val="24"/>
          <w:szCs w:val="30"/>
        </w:rPr>
        <w:t>）为保证培养目标的实现，在教学计划的实施过程中，对学生开展形式多样、内容丰富的政治思想教育、心理健康教育、科技文化体育活动及社会实践活动。</w:t>
      </w:r>
    </w:p>
    <w:p>
      <w:pPr>
        <w:overflowPunct w:val="0"/>
        <w:rPr>
          <w:rFonts w:ascii="黑体" w:hAnsi="黑体" w:eastAsia="黑体"/>
          <w:b/>
          <w:sz w:val="28"/>
          <w:szCs w:val="30"/>
        </w:rPr>
      </w:pPr>
      <w:r>
        <w:rPr>
          <w:rFonts w:hint="eastAsia" w:ascii="黑体" w:hAnsi="黑体" w:eastAsia="黑体"/>
          <w:b/>
          <w:sz w:val="28"/>
          <w:szCs w:val="30"/>
        </w:rPr>
        <w:t>九、毕业要求</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1．学生毕业时要求取得毕业证和与本专业培养目标相匹配的计算机中级证、</w:t>
      </w:r>
      <w:r>
        <w:rPr>
          <w:rFonts w:hint="eastAsia" w:ascii="仿宋_GB2312" w:eastAsia="仿宋_GB2312"/>
          <w:sz w:val="24"/>
        </w:rPr>
        <w:t>会计从业资格证</w:t>
      </w:r>
      <w:r>
        <w:rPr>
          <w:rFonts w:hint="eastAsia" w:ascii="仿宋_GB2312" w:eastAsia="仿宋_GB2312"/>
          <w:sz w:val="24"/>
          <w:szCs w:val="30"/>
        </w:rPr>
        <w:t>、网络营销师、</w:t>
      </w:r>
      <w:r>
        <w:rPr>
          <w:rFonts w:hint="eastAsia" w:ascii="仿宋_GB2312" w:eastAsia="仿宋_GB2312"/>
          <w:sz w:val="24"/>
        </w:rPr>
        <w:t>电子商务资格证、</w:t>
      </w:r>
      <w:r>
        <w:rPr>
          <w:rFonts w:hint="eastAsia" w:ascii="仿宋_GB2312" w:eastAsia="仿宋_GB2312"/>
          <w:sz w:val="24"/>
          <w:szCs w:val="30"/>
        </w:rPr>
        <w:t>电子商务支付管理师等职业资格证书。</w:t>
      </w:r>
    </w:p>
    <w:p>
      <w:pPr>
        <w:overflowPunct w:val="0"/>
        <w:spacing w:line="360" w:lineRule="auto"/>
        <w:ind w:firstLine="340" w:firstLineChars="142"/>
        <w:rPr>
          <w:rFonts w:ascii="仿宋_GB2312" w:eastAsia="仿宋_GB2312"/>
          <w:sz w:val="24"/>
          <w:szCs w:val="30"/>
        </w:rPr>
      </w:pPr>
      <w:r>
        <w:rPr>
          <w:rFonts w:hint="eastAsia" w:ascii="仿宋_GB2312" w:eastAsia="仿宋_GB2312"/>
          <w:sz w:val="24"/>
          <w:szCs w:val="30"/>
        </w:rPr>
        <w:t>2．本专业毕业生除完成专业教学计划中所有科目的学习并成绩合格外，必须获得我校专业技能等级证才能获得毕业资格。</w:t>
      </w:r>
    </w:p>
    <w:p>
      <w:pPr>
        <w:overflowPunct w:val="0"/>
        <w:spacing w:line="360" w:lineRule="auto"/>
        <w:ind w:firstLine="340" w:firstLineChars="142"/>
        <w:rPr>
          <w:rFonts w:ascii="仿宋_GB2312" w:eastAsia="仿宋_GB2312"/>
          <w:sz w:val="24"/>
          <w:szCs w:val="30"/>
        </w:rPr>
      </w:pP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drawing>
        <wp:anchor distT="0" distB="0" distL="0" distR="0" simplePos="0" relativeHeight="251659264" behindDoc="0" locked="0" layoutInCell="1" allowOverlap="1">
          <wp:simplePos x="0" y="0"/>
          <wp:positionH relativeFrom="margin">
            <wp:align>left</wp:align>
          </wp:positionH>
          <wp:positionV relativeFrom="paragraph">
            <wp:posOffset>-107950</wp:posOffset>
          </wp:positionV>
          <wp:extent cx="1583055" cy="2565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3055" cy="2565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2MTc4YzI4ZjNkMjIyOGI2M2Y0ZTkwNjBkMzI1M2MifQ=="/>
  </w:docVars>
  <w:rsids>
    <w:rsidRoot w:val="0053177C"/>
    <w:rsid w:val="0035584B"/>
    <w:rsid w:val="0053177C"/>
    <w:rsid w:val="00736492"/>
    <w:rsid w:val="007F18F6"/>
    <w:rsid w:val="00946333"/>
    <w:rsid w:val="49FF5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after="156" w:afterLines="50" w:line="578" w:lineRule="atLeast"/>
      <w:ind w:right="227"/>
      <w:outlineLvl w:val="0"/>
    </w:pPr>
    <w:rPr>
      <w:rFonts w:ascii="Arial" w:hAnsi="Arial"/>
      <w:b/>
      <w:sz w:val="28"/>
      <w:szCs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ascii="Cambria" w:hAnsi="Cambria" w:eastAsia="黑体"/>
      <w:sz w:val="20"/>
      <w:szCs w:val="20"/>
    </w:rPr>
  </w:style>
  <w:style w:type="paragraph" w:styleId="4">
    <w:name w:val="Body Text"/>
    <w:basedOn w:val="1"/>
    <w:link w:val="18"/>
    <w:qFormat/>
    <w:uiPriority w:val="0"/>
    <w:pPr>
      <w:spacing w:before="140"/>
      <w:ind w:left="428" w:right="423" w:firstLine="559"/>
    </w:pPr>
    <w:rPr>
      <w:rFonts w:ascii="仿宋" w:hAnsi="仿宋" w:eastAsia="仿宋" w:cs="仿宋"/>
      <w:sz w:val="28"/>
      <w:szCs w:val="28"/>
      <w:lang w:val="zh-CN" w:bidi="zh-CN"/>
    </w:rPr>
  </w:style>
  <w:style w:type="paragraph" w:styleId="5">
    <w:name w:val="Body Text Indent"/>
    <w:basedOn w:val="1"/>
    <w:link w:val="19"/>
    <w:qFormat/>
    <w:uiPriority w:val="0"/>
    <w:pPr>
      <w:ind w:firstLine="420" w:firstLineChars="200"/>
    </w:pPr>
  </w:style>
  <w:style w:type="paragraph" w:styleId="6">
    <w:name w:val="Balloon Text"/>
    <w:basedOn w:val="1"/>
    <w:link w:val="20"/>
    <w:qFormat/>
    <w:uiPriority w:val="0"/>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link w:val="21"/>
    <w:qFormat/>
    <w:uiPriority w:val="0"/>
    <w:pPr>
      <w:spacing w:before="480" w:after="240" w:line="240" w:lineRule="atLeast"/>
      <w:ind w:left="227" w:right="227"/>
      <w:jc w:val="center"/>
      <w:outlineLvl w:val="0"/>
    </w:pPr>
    <w:rPr>
      <w:rFonts w:ascii="Arial" w:hAnsi="Arial" w:eastAsia="黑体"/>
      <w:b/>
      <w:spacing w:val="20"/>
      <w:sz w:val="36"/>
      <w:szCs w:val="21"/>
    </w:rPr>
  </w:style>
  <w:style w:type="table" w:styleId="12">
    <w:name w:val="Table Grid"/>
    <w:basedOn w:val="11"/>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character" w:customStyle="1" w:styleId="17">
    <w:name w:val="标题 1 字符"/>
    <w:basedOn w:val="13"/>
    <w:link w:val="2"/>
    <w:qFormat/>
    <w:uiPriority w:val="0"/>
    <w:rPr>
      <w:rFonts w:ascii="Arial" w:hAnsi="Arial" w:eastAsia="宋体" w:cs="Times New Roman"/>
      <w:b/>
      <w:sz w:val="28"/>
      <w:szCs w:val="28"/>
    </w:rPr>
  </w:style>
  <w:style w:type="character" w:customStyle="1" w:styleId="18">
    <w:name w:val="正文文本 字符"/>
    <w:basedOn w:val="13"/>
    <w:link w:val="4"/>
    <w:qFormat/>
    <w:uiPriority w:val="0"/>
    <w:rPr>
      <w:rFonts w:ascii="仿宋" w:hAnsi="仿宋" w:eastAsia="仿宋" w:cs="仿宋"/>
      <w:sz w:val="28"/>
      <w:szCs w:val="28"/>
      <w:lang w:val="zh-CN" w:bidi="zh-CN"/>
    </w:rPr>
  </w:style>
  <w:style w:type="character" w:customStyle="1" w:styleId="19">
    <w:name w:val="正文文本缩进 字符"/>
    <w:basedOn w:val="13"/>
    <w:link w:val="5"/>
    <w:qFormat/>
    <w:uiPriority w:val="0"/>
    <w:rPr>
      <w:rFonts w:ascii="Times New Roman" w:hAnsi="Times New Roman" w:eastAsia="宋体" w:cs="Times New Roman"/>
      <w:szCs w:val="24"/>
    </w:rPr>
  </w:style>
  <w:style w:type="character" w:customStyle="1" w:styleId="20">
    <w:name w:val="批注框文本 字符"/>
    <w:basedOn w:val="13"/>
    <w:link w:val="6"/>
    <w:qFormat/>
    <w:uiPriority w:val="0"/>
    <w:rPr>
      <w:rFonts w:ascii="Times New Roman" w:hAnsi="Times New Roman" w:eastAsia="宋体" w:cs="Times New Roman"/>
      <w:sz w:val="18"/>
      <w:szCs w:val="18"/>
    </w:rPr>
  </w:style>
  <w:style w:type="character" w:customStyle="1" w:styleId="21">
    <w:name w:val="标题 字符"/>
    <w:basedOn w:val="13"/>
    <w:link w:val="10"/>
    <w:qFormat/>
    <w:uiPriority w:val="0"/>
    <w:rPr>
      <w:rFonts w:ascii="Arial" w:hAnsi="Arial" w:eastAsia="黑体" w:cs="Times New Roman"/>
      <w:b/>
      <w:spacing w:val="20"/>
      <w:sz w:val="36"/>
      <w:szCs w:val="21"/>
    </w:rPr>
  </w:style>
  <w:style w:type="paragraph" w:customStyle="1" w:styleId="22">
    <w:name w:val="标题5"/>
    <w:basedOn w:val="1"/>
    <w:qFormat/>
    <w:uiPriority w:val="0"/>
    <w:pPr>
      <w:adjustRightInd w:val="0"/>
      <w:snapToGrid w:val="0"/>
      <w:spacing w:line="310" w:lineRule="atLeast"/>
      <w:ind w:firstLine="425"/>
    </w:pPr>
    <w:rPr>
      <w:rFonts w:ascii="Arial" w:hAnsi="Arial" w:eastAsia="黑体"/>
      <w:szCs w:val="20"/>
    </w:rPr>
  </w:style>
  <w:style w:type="paragraph" w:customStyle="1" w:styleId="23">
    <w:name w:val="列出段落1"/>
    <w:basedOn w:val="1"/>
    <w:qFormat/>
    <w:uiPriority w:val="0"/>
    <w:pPr>
      <w:ind w:firstLine="420" w:firstLineChars="200"/>
    </w:pPr>
  </w:style>
  <w:style w:type="paragraph" w:customStyle="1" w:styleId="24">
    <w:name w:val="Char"/>
    <w:basedOn w:val="1"/>
    <w:qFormat/>
    <w:uiPriority w:val="0"/>
    <w:rPr>
      <w:rFonts w:eastAsia="仿宋_GB2312"/>
      <w:sz w:val="32"/>
      <w:szCs w:val="32"/>
    </w:rPr>
  </w:style>
  <w:style w:type="paragraph" w:customStyle="1" w:styleId="25">
    <w:name w:val="aa"/>
    <w:basedOn w:val="1"/>
    <w:link w:val="26"/>
    <w:qFormat/>
    <w:uiPriority w:val="0"/>
    <w:pPr>
      <w:spacing w:line="400" w:lineRule="exact"/>
      <w:ind w:firstLine="200" w:firstLineChars="200"/>
    </w:pPr>
    <w:rPr>
      <w:rFonts w:ascii="仿宋_GB2312" w:hAnsi="仿宋_GB2312" w:eastAsia="仿宋_GB2312"/>
      <w:sz w:val="24"/>
      <w:szCs w:val="20"/>
      <w:lang w:val="zh-CN"/>
    </w:rPr>
  </w:style>
  <w:style w:type="character" w:customStyle="1" w:styleId="26">
    <w:name w:val="aa Char"/>
    <w:link w:val="25"/>
    <w:qFormat/>
    <w:uiPriority w:val="0"/>
    <w:rPr>
      <w:rFonts w:ascii="仿宋_GB2312" w:hAnsi="仿宋_GB2312" w:eastAsia="仿宋_GB2312" w:cs="Times New Roman"/>
      <w:sz w:val="24"/>
      <w:szCs w:val="20"/>
      <w:lang w:val="zh-CN"/>
    </w:rPr>
  </w:style>
  <w:style w:type="character" w:customStyle="1" w:styleId="27">
    <w:name w:val="2233 Char"/>
    <w:link w:val="28"/>
    <w:qFormat/>
    <w:uiPriority w:val="0"/>
    <w:rPr>
      <w:rFonts w:ascii="仿宋_GB2312" w:hAnsi="仿宋_GB2312" w:eastAsia="仿宋_GB2312"/>
      <w:sz w:val="24"/>
    </w:rPr>
  </w:style>
  <w:style w:type="paragraph" w:customStyle="1" w:styleId="28">
    <w:name w:val="2233"/>
    <w:basedOn w:val="1"/>
    <w:link w:val="27"/>
    <w:qFormat/>
    <w:uiPriority w:val="0"/>
    <w:pPr>
      <w:ind w:firstLine="200" w:firstLineChars="200"/>
      <w:jc w:val="left"/>
      <w:textAlignment w:val="baseline"/>
    </w:pPr>
    <w:rPr>
      <w:rFonts w:ascii="仿宋_GB2312" w:hAnsi="仿宋_GB2312" w:eastAsia="仿宋_GB2312" w:cstheme="minorBidi"/>
      <w:sz w:val="24"/>
      <w:szCs w:val="22"/>
    </w:rPr>
  </w:style>
  <w:style w:type="paragraph" w:customStyle="1" w:styleId="29">
    <w:name w:val="List Paragraph1"/>
    <w:basedOn w:val="1"/>
    <w:qFormat/>
    <w:uiPriority w:val="99"/>
    <w:pPr>
      <w:ind w:firstLine="420" w:firstLineChars="200"/>
    </w:pPr>
    <w:rPr>
      <w:rFonts w:ascii="Calibri" w:hAnsi="Calibri" w:cs="黑体"/>
      <w:szCs w:val="22"/>
    </w:rPr>
  </w:style>
  <w:style w:type="table" w:customStyle="1" w:styleId="30">
    <w:name w:val="TableGrid"/>
    <w:basedOn w:val="11"/>
    <w:qFormat/>
    <w:uiPriority w:val="0"/>
    <w:rPr>
      <w:rFonts w:ascii="Times New Roman" w:hAnsi="Times New Roman" w:eastAsia="Times New Roman" w:cs="Times New Roman"/>
      <w:kern w:val="0"/>
      <w:sz w:val="20"/>
      <w:szCs w:val="20"/>
    </w:rPr>
    <w:tblPr>
      <w:tblCellMar>
        <w:left w:w="0" w:type="dxa"/>
        <w:right w:w="0" w:type="dxa"/>
      </w:tblCellMar>
    </w:tblPr>
  </w:style>
  <w:style w:type="paragraph" w:customStyle="1" w:styleId="31">
    <w:name w:val="Table Paragraph"/>
    <w:basedOn w:val="1"/>
    <w:qFormat/>
    <w:uiPriority w:val="1"/>
    <w:rPr>
      <w:rFonts w:ascii="楷体" w:hAnsi="楷体" w:eastAsia="楷体" w:cs="楷体"/>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11441</Words>
  <Characters>11734</Characters>
  <Lines>92</Lines>
  <Paragraphs>26</Paragraphs>
  <TotalTime>8</TotalTime>
  <ScaleCrop>false</ScaleCrop>
  <LinksUpToDate>false</LinksUpToDate>
  <CharactersWithSpaces>11743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2022-09-23T02:52:00Z</dcterms:created>
  <dc:creator>xinhua</dc:creator>
  <cp:lastModifiedBy>箴言</cp:lastModifiedBy>
  <dcterms:modified xsi:type="dcterms:W3CDTF">2022-09-23T04:59:15Z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6B7DD9BCD4EC43A1AF1023AEC6FEE89B</vt:lpwstr>
  </property>
</Properties>
</file>