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left="560" w:firstLine="1446"/>
        <w:jc w:val="center"/>
        <w:rPr>
          <w:rFonts w:ascii="楷体_GB2312" w:eastAsia="楷体_GB2312"/>
          <w:b/>
          <w:sz w:val="72"/>
        </w:rPr>
      </w:pPr>
    </w:p>
    <w:p>
      <w:pPr>
        <w:widowControl/>
        <w:spacing w:line="360" w:lineRule="auto"/>
        <w:ind w:left="560" w:firstLine="1446"/>
        <w:jc w:val="center"/>
        <w:rPr>
          <w:rFonts w:ascii="楷体_GB2312" w:eastAsia="楷体_GB2312" w:hAnsiTheme="majorEastAsia"/>
          <w:b/>
          <w:sz w:val="72"/>
        </w:rPr>
      </w:pPr>
    </w:p>
    <w:p>
      <w:pPr>
        <w:widowControl/>
        <w:spacing w:line="360" w:lineRule="auto"/>
        <w:ind w:firstLine="1258" w:firstLineChars="174"/>
        <w:rPr>
          <w:rFonts w:ascii="楷体_GB2312" w:eastAsia="楷体_GB2312" w:hAnsiTheme="majorEastAsia"/>
          <w:b/>
          <w:sz w:val="72"/>
        </w:rPr>
      </w:pPr>
      <w:r>
        <w:rPr>
          <w:rFonts w:hint="eastAsia" w:ascii="楷体_GB2312" w:eastAsia="楷体_GB2312" w:hAnsiTheme="majorEastAsia"/>
          <w:b/>
          <w:sz w:val="72"/>
        </w:rPr>
        <w:t>郑州新华中等专业学校</w:t>
      </w:r>
    </w:p>
    <w:p>
      <w:pPr>
        <w:widowControl/>
        <w:spacing w:before="381" w:beforeLines="100" w:line="360" w:lineRule="auto"/>
        <w:ind w:firstLine="1754" w:firstLineChars="336"/>
        <w:rPr>
          <w:rFonts w:asciiTheme="majorEastAsia" w:hAnsiTheme="majorEastAsia" w:eastAsiaTheme="majorEastAsia"/>
          <w:b/>
          <w:sz w:val="52"/>
        </w:rPr>
      </w:pPr>
      <w:r>
        <w:rPr>
          <w:rFonts w:hint="eastAsia" w:asciiTheme="majorEastAsia" w:hAnsiTheme="majorEastAsia" w:eastAsiaTheme="majorEastAsia"/>
          <w:b/>
          <w:sz w:val="52"/>
        </w:rPr>
        <w:t>教育质量年度报告（20</w:t>
      </w:r>
      <w:r>
        <w:rPr>
          <w:rFonts w:hint="eastAsia" w:asciiTheme="majorEastAsia" w:hAnsiTheme="majorEastAsia" w:eastAsiaTheme="majorEastAsia"/>
          <w:b/>
          <w:sz w:val="52"/>
          <w:lang w:val="en-US" w:eastAsia="zh-CN"/>
        </w:rPr>
        <w:t>20</w:t>
      </w:r>
      <w:r>
        <w:rPr>
          <w:rFonts w:hint="eastAsia" w:asciiTheme="majorEastAsia" w:hAnsiTheme="majorEastAsia" w:eastAsiaTheme="majorEastAsia"/>
          <w:b/>
          <w:sz w:val="52"/>
        </w:rPr>
        <w:t>年）</w:t>
      </w:r>
    </w:p>
    <w:p>
      <w:pPr>
        <w:widowControl/>
        <w:spacing w:line="360" w:lineRule="auto"/>
        <w:ind w:left="560" w:firstLine="560"/>
        <w:jc w:val="center"/>
      </w:pPr>
    </w:p>
    <w:p>
      <w:pPr>
        <w:widowControl/>
        <w:spacing w:line="360" w:lineRule="auto"/>
        <w:ind w:left="560" w:firstLine="560"/>
        <w:jc w:val="center"/>
      </w:pPr>
    </w:p>
    <w:p>
      <w:pPr>
        <w:widowControl/>
        <w:spacing w:line="360" w:lineRule="auto"/>
        <w:ind w:left="560" w:firstLine="560"/>
        <w:jc w:val="center"/>
      </w:pPr>
    </w:p>
    <w:p>
      <w:pPr>
        <w:widowControl/>
        <w:spacing w:line="360" w:lineRule="auto"/>
        <w:ind w:left="560" w:firstLine="560"/>
        <w:jc w:val="center"/>
      </w:pPr>
    </w:p>
    <w:p>
      <w:pPr>
        <w:widowControl/>
        <w:spacing w:line="360" w:lineRule="auto"/>
        <w:ind w:left="560" w:firstLine="560"/>
        <w:jc w:val="center"/>
      </w:pPr>
    </w:p>
    <w:p>
      <w:pPr>
        <w:widowControl/>
        <w:spacing w:line="360" w:lineRule="auto"/>
        <w:ind w:left="560" w:firstLine="560"/>
        <w:jc w:val="center"/>
      </w:pPr>
    </w:p>
    <w:p>
      <w:pPr>
        <w:widowControl/>
        <w:spacing w:line="360" w:lineRule="auto"/>
        <w:ind w:left="560" w:firstLine="560"/>
        <w:jc w:val="center"/>
      </w:pPr>
    </w:p>
    <w:p>
      <w:pPr>
        <w:widowControl/>
        <w:spacing w:line="360" w:lineRule="auto"/>
        <w:ind w:left="560" w:firstLine="560"/>
        <w:jc w:val="center"/>
      </w:pPr>
    </w:p>
    <w:p>
      <w:pPr>
        <w:widowControl/>
        <w:spacing w:line="360" w:lineRule="auto"/>
        <w:ind w:left="560" w:firstLine="560"/>
        <w:jc w:val="center"/>
      </w:pPr>
    </w:p>
    <w:p>
      <w:pPr>
        <w:widowControl/>
        <w:spacing w:line="360" w:lineRule="auto"/>
        <w:ind w:left="560" w:firstLine="560"/>
        <w:jc w:val="center"/>
      </w:pPr>
    </w:p>
    <w:p>
      <w:pPr>
        <w:widowControl/>
        <w:spacing w:line="360" w:lineRule="auto"/>
        <w:ind w:left="560" w:firstLine="560"/>
        <w:jc w:val="center"/>
      </w:pPr>
    </w:p>
    <w:p>
      <w:pPr>
        <w:widowControl/>
        <w:spacing w:line="360" w:lineRule="auto"/>
        <w:ind w:left="560" w:firstLine="560"/>
        <w:jc w:val="center"/>
      </w:pPr>
    </w:p>
    <w:p>
      <w:pPr>
        <w:widowControl/>
        <w:spacing w:line="360" w:lineRule="auto"/>
        <w:ind w:firstLine="3747" w:firstLineChars="933"/>
        <w:rPr>
          <w:rFonts w:ascii="楷体_GB2312" w:eastAsia="楷体_GB2312"/>
          <w:b/>
          <w:sz w:val="40"/>
        </w:rPr>
      </w:pPr>
      <w:r>
        <w:rPr>
          <w:rFonts w:hint="eastAsia" w:ascii="楷体_GB2312" w:eastAsia="楷体_GB2312"/>
          <w:b/>
          <w:sz w:val="40"/>
        </w:rPr>
        <w:t>20</w:t>
      </w:r>
      <w:r>
        <w:rPr>
          <w:rFonts w:hint="eastAsia" w:ascii="楷体_GB2312" w:eastAsia="楷体_GB2312"/>
          <w:b/>
          <w:sz w:val="40"/>
          <w:lang w:val="en-US" w:eastAsia="zh-CN"/>
        </w:rPr>
        <w:t>21</w:t>
      </w:r>
      <w:r>
        <w:rPr>
          <w:rFonts w:hint="eastAsia" w:ascii="楷体_GB2312" w:eastAsia="楷体_GB2312"/>
          <w:b/>
          <w:sz w:val="40"/>
        </w:rPr>
        <w:t>年</w:t>
      </w:r>
      <w:r>
        <w:rPr>
          <w:rFonts w:hint="eastAsia" w:ascii="楷体_GB2312" w:eastAsia="楷体_GB2312"/>
          <w:b/>
          <w:sz w:val="40"/>
          <w:lang w:val="en-US" w:eastAsia="zh-CN"/>
        </w:rPr>
        <w:t>1</w:t>
      </w:r>
      <w:r>
        <w:rPr>
          <w:rFonts w:hint="eastAsia" w:ascii="楷体_GB2312" w:eastAsia="楷体_GB2312"/>
          <w:b/>
          <w:sz w:val="40"/>
        </w:rPr>
        <w:t>月</w:t>
      </w:r>
    </w:p>
    <w:p>
      <w:pPr>
        <w:widowControl/>
        <w:spacing w:line="360" w:lineRule="auto"/>
        <w:ind w:left="560" w:firstLine="720"/>
        <w:jc w:val="left"/>
        <w:rPr>
          <w:rFonts w:asciiTheme="minorEastAsia" w:hAnsiTheme="minorEastAsia" w:eastAsiaTheme="minorEastAsia" w:cstheme="minorBidi"/>
          <w:kern w:val="2"/>
          <w:sz w:val="36"/>
          <w:szCs w:val="22"/>
          <w:lang w:val="en-US" w:eastAsia="zh-CN" w:bidi="ar-SA"/>
        </w:rPr>
      </w:pPr>
      <w:r>
        <w:br w:type="page"/>
      </w:r>
      <w:r>
        <w:br w:type="page"/>
      </w:r>
      <w:r>
        <w:rPr>
          <w:rFonts w:asciiTheme="minorEastAsia" w:hAnsiTheme="minorEastAsia"/>
          <w:sz w:val="36"/>
        </w:rPr>
        <w:fldChar w:fldCharType="begin"/>
      </w:r>
      <w:r>
        <w:rPr>
          <w:rFonts w:asciiTheme="minorEastAsia" w:hAnsiTheme="minorEastAsia"/>
          <w:sz w:val="36"/>
        </w:rPr>
        <w:instrText xml:space="preserve"> TOC \o "1-3" \h \z \u </w:instrText>
      </w:r>
      <w:r>
        <w:rPr>
          <w:rFonts w:asciiTheme="minorEastAsia" w:hAnsiTheme="minorEastAsia"/>
          <w:sz w:val="36"/>
        </w:rPr>
        <w:fldChar w:fldCharType="separate"/>
      </w:r>
    </w:p>
    <w:p>
      <w:pPr>
        <w:pStyle w:val="12"/>
        <w:keepNext w:val="0"/>
        <w:keepLines w:val="0"/>
        <w:pageBreakBefore w:val="0"/>
        <w:widowControl w:val="0"/>
        <w:tabs>
          <w:tab w:val="right" w:leader="dot" w:pos="9746"/>
          <w:tab w:val="clear" w:pos="9736"/>
        </w:tabs>
        <w:kinsoku/>
        <w:wordWrap/>
        <w:overflowPunct/>
        <w:topLinePunct w:val="0"/>
        <w:autoSpaceDE/>
        <w:autoSpaceDN/>
        <w:bidi w:val="0"/>
        <w:adjustRightInd/>
        <w:snapToGrid/>
        <w:spacing w:before="0" w:line="240" w:lineRule="auto"/>
        <w:textAlignment w:val="auto"/>
        <w:rPr>
          <w:rFonts w:hint="eastAsia" w:asciiTheme="minorEastAsia" w:hAnsiTheme="minorEastAsia"/>
          <w:sz w:val="32"/>
          <w:szCs w:val="22"/>
          <w:lang w:val="en-US" w:eastAsia="zh-CN"/>
        </w:rPr>
      </w:pPr>
      <w:r>
        <w:rPr>
          <w:rFonts w:hint="eastAsia" w:asciiTheme="minorEastAsia" w:hAnsiTheme="minorEastAsia"/>
          <w:sz w:val="32"/>
          <w:szCs w:val="22"/>
          <w:lang w:val="en-US" w:eastAsia="zh-CN"/>
        </w:rPr>
        <w:t>目  录</w:t>
      </w:r>
    </w:p>
    <w:p>
      <w:pPr>
        <w:pStyle w:val="12"/>
        <w:tabs>
          <w:tab w:val="right" w:leader="dot" w:pos="9746"/>
          <w:tab w:val="clear" w:pos="9736"/>
        </w:tabs>
      </w:pPr>
      <w:r>
        <w:rPr>
          <w:rFonts w:asciiTheme="minorEastAsia" w:hAnsiTheme="minorEastAsia"/>
        </w:rPr>
        <w:fldChar w:fldCharType="begin"/>
      </w:r>
      <w:r>
        <w:rPr>
          <w:rFonts w:asciiTheme="minorEastAsia" w:hAnsiTheme="minorEastAsia"/>
        </w:rPr>
        <w:instrText xml:space="preserve"> HYPERLINK \l _Toc25968 </w:instrText>
      </w:r>
      <w:r>
        <w:rPr>
          <w:rFonts w:asciiTheme="minorEastAsia" w:hAnsiTheme="minorEastAsia"/>
        </w:rPr>
        <w:fldChar w:fldCharType="separate"/>
      </w:r>
      <w:r>
        <w:rPr>
          <w:rFonts w:hint="eastAsia"/>
        </w:rPr>
        <w:t>一、学校情况</w:t>
      </w:r>
      <w:r>
        <w:tab/>
      </w:r>
      <w:r>
        <w:fldChar w:fldCharType="begin"/>
      </w:r>
      <w:r>
        <w:instrText xml:space="preserve"> PAGEREF _Toc25968 </w:instrText>
      </w:r>
      <w:r>
        <w:fldChar w:fldCharType="separate"/>
      </w:r>
      <w:r>
        <w:t>1</w:t>
      </w:r>
      <w:r>
        <w:fldChar w:fldCharType="end"/>
      </w:r>
      <w:r>
        <w:rPr>
          <w:rFonts w:asciiTheme="minorEastAsia" w:hAnsiTheme="minorEastAsia"/>
        </w:rPr>
        <w:fldChar w:fldCharType="end"/>
      </w:r>
    </w:p>
    <w:p>
      <w:pPr>
        <w:pStyle w:val="16"/>
        <w:tabs>
          <w:tab w:val="right" w:leader="dot" w:pos="9746"/>
        </w:tabs>
      </w:pPr>
      <w:r>
        <w:rPr>
          <w:rFonts w:asciiTheme="minorEastAsia" w:hAnsiTheme="minorEastAsia"/>
        </w:rPr>
        <w:fldChar w:fldCharType="begin"/>
      </w:r>
      <w:r>
        <w:rPr>
          <w:rFonts w:asciiTheme="minorEastAsia" w:hAnsiTheme="minorEastAsia"/>
        </w:rPr>
        <w:instrText xml:space="preserve"> HYPERLINK \l _Toc29109 </w:instrText>
      </w:r>
      <w:r>
        <w:rPr>
          <w:rFonts w:asciiTheme="minorEastAsia" w:hAnsiTheme="minorEastAsia"/>
        </w:rPr>
        <w:fldChar w:fldCharType="separate"/>
      </w:r>
      <w:r>
        <w:rPr>
          <w:rFonts w:hint="eastAsia"/>
        </w:rPr>
        <w:t>（一）学校概况</w:t>
      </w:r>
      <w:r>
        <w:tab/>
      </w:r>
      <w:r>
        <w:fldChar w:fldCharType="begin"/>
      </w:r>
      <w:r>
        <w:instrText xml:space="preserve"> PAGEREF _Toc29109 </w:instrText>
      </w:r>
      <w:r>
        <w:fldChar w:fldCharType="separate"/>
      </w:r>
      <w:r>
        <w:t>1</w:t>
      </w:r>
      <w:r>
        <w:fldChar w:fldCharType="end"/>
      </w:r>
      <w:r>
        <w:rPr>
          <w:rFonts w:asciiTheme="minorEastAsia" w:hAnsiTheme="minorEastAsia"/>
        </w:rPr>
        <w:fldChar w:fldCharType="end"/>
      </w:r>
    </w:p>
    <w:p>
      <w:pPr>
        <w:pStyle w:val="16"/>
        <w:tabs>
          <w:tab w:val="right" w:leader="dot" w:pos="9746"/>
        </w:tabs>
      </w:pPr>
      <w:r>
        <w:rPr>
          <w:rFonts w:asciiTheme="minorEastAsia" w:hAnsiTheme="minorEastAsia"/>
        </w:rPr>
        <w:fldChar w:fldCharType="begin"/>
      </w:r>
      <w:r>
        <w:rPr>
          <w:rFonts w:asciiTheme="minorEastAsia" w:hAnsiTheme="minorEastAsia"/>
        </w:rPr>
        <w:instrText xml:space="preserve"> HYPERLINK \l _Toc27565 </w:instrText>
      </w:r>
      <w:r>
        <w:rPr>
          <w:rFonts w:asciiTheme="minorEastAsia" w:hAnsiTheme="minorEastAsia"/>
        </w:rPr>
        <w:fldChar w:fldCharType="separate"/>
      </w:r>
      <w:r>
        <w:rPr>
          <w:rFonts w:hint="eastAsia"/>
        </w:rPr>
        <w:t xml:space="preserve">（二） </w:t>
      </w:r>
      <w:r>
        <w:rPr>
          <w:rFonts w:hint="eastAsia"/>
          <w:bCs/>
          <w:kern w:val="2"/>
          <w:szCs w:val="32"/>
        </w:rPr>
        <w:t>学生情况</w:t>
      </w:r>
      <w:r>
        <w:tab/>
      </w:r>
      <w:r>
        <w:fldChar w:fldCharType="begin"/>
      </w:r>
      <w:r>
        <w:instrText xml:space="preserve"> PAGEREF _Toc27565 </w:instrText>
      </w:r>
      <w:r>
        <w:fldChar w:fldCharType="separate"/>
      </w:r>
      <w:r>
        <w:t>1</w:t>
      </w:r>
      <w:r>
        <w:fldChar w:fldCharType="end"/>
      </w:r>
      <w:r>
        <w:rPr>
          <w:rFonts w:asciiTheme="minorEastAsia" w:hAnsiTheme="minorEastAsia"/>
        </w:rPr>
        <w:fldChar w:fldCharType="end"/>
      </w:r>
    </w:p>
    <w:p>
      <w:pPr>
        <w:pStyle w:val="16"/>
        <w:tabs>
          <w:tab w:val="right" w:leader="dot" w:pos="9746"/>
        </w:tabs>
      </w:pPr>
      <w:r>
        <w:rPr>
          <w:rFonts w:asciiTheme="minorEastAsia" w:hAnsiTheme="minorEastAsia"/>
        </w:rPr>
        <w:fldChar w:fldCharType="begin"/>
      </w:r>
      <w:r>
        <w:rPr>
          <w:rFonts w:asciiTheme="minorEastAsia" w:hAnsiTheme="minorEastAsia"/>
        </w:rPr>
        <w:instrText xml:space="preserve"> HYPERLINK \l _Toc11362 </w:instrText>
      </w:r>
      <w:r>
        <w:rPr>
          <w:rFonts w:asciiTheme="minorEastAsia" w:hAnsiTheme="minorEastAsia"/>
        </w:rPr>
        <w:fldChar w:fldCharType="separate"/>
      </w:r>
      <w:r>
        <w:rPr>
          <w:rFonts w:hint="eastAsia"/>
        </w:rPr>
        <w:t>（三）教师队伍</w:t>
      </w:r>
      <w:r>
        <w:tab/>
      </w:r>
      <w:r>
        <w:fldChar w:fldCharType="begin"/>
      </w:r>
      <w:r>
        <w:instrText xml:space="preserve"> PAGEREF _Toc11362 </w:instrText>
      </w:r>
      <w:r>
        <w:fldChar w:fldCharType="separate"/>
      </w:r>
      <w:r>
        <w:t>1</w:t>
      </w:r>
      <w:r>
        <w:fldChar w:fldCharType="end"/>
      </w:r>
      <w:r>
        <w:rPr>
          <w:rFonts w:asciiTheme="minorEastAsia" w:hAnsiTheme="minorEastAsia"/>
        </w:rPr>
        <w:fldChar w:fldCharType="end"/>
      </w:r>
    </w:p>
    <w:p>
      <w:pPr>
        <w:pStyle w:val="16"/>
        <w:tabs>
          <w:tab w:val="right" w:leader="dot" w:pos="9746"/>
        </w:tabs>
      </w:pPr>
      <w:r>
        <w:rPr>
          <w:rFonts w:asciiTheme="minorEastAsia" w:hAnsiTheme="minorEastAsia"/>
        </w:rPr>
        <w:fldChar w:fldCharType="begin"/>
      </w:r>
      <w:r>
        <w:rPr>
          <w:rFonts w:asciiTheme="minorEastAsia" w:hAnsiTheme="minorEastAsia"/>
        </w:rPr>
        <w:instrText xml:space="preserve"> HYPERLINK \l _Toc32151 </w:instrText>
      </w:r>
      <w:r>
        <w:rPr>
          <w:rFonts w:asciiTheme="minorEastAsia" w:hAnsiTheme="minorEastAsia"/>
        </w:rPr>
        <w:fldChar w:fldCharType="separate"/>
      </w:r>
      <w:r>
        <w:rPr>
          <w:rFonts w:hint="eastAsia"/>
        </w:rPr>
        <w:t>（四）设施设备</w:t>
      </w:r>
      <w:r>
        <w:tab/>
      </w:r>
      <w:r>
        <w:fldChar w:fldCharType="begin"/>
      </w:r>
      <w:r>
        <w:instrText xml:space="preserve"> PAGEREF _Toc32151 </w:instrText>
      </w:r>
      <w:r>
        <w:fldChar w:fldCharType="separate"/>
      </w:r>
      <w:r>
        <w:t>2</w:t>
      </w:r>
      <w:r>
        <w:fldChar w:fldCharType="end"/>
      </w:r>
      <w:r>
        <w:rPr>
          <w:rFonts w:asciiTheme="minorEastAsia" w:hAnsiTheme="minorEastAsia"/>
        </w:rPr>
        <w:fldChar w:fldCharType="end"/>
      </w:r>
    </w:p>
    <w:p>
      <w:pPr>
        <w:pStyle w:val="12"/>
        <w:tabs>
          <w:tab w:val="right" w:leader="dot" w:pos="9746"/>
          <w:tab w:val="clear" w:pos="9736"/>
        </w:tabs>
      </w:pPr>
      <w:r>
        <w:rPr>
          <w:rFonts w:asciiTheme="minorEastAsia" w:hAnsiTheme="minorEastAsia"/>
        </w:rPr>
        <w:fldChar w:fldCharType="begin"/>
      </w:r>
      <w:r>
        <w:rPr>
          <w:rFonts w:asciiTheme="minorEastAsia" w:hAnsiTheme="minorEastAsia"/>
        </w:rPr>
        <w:instrText xml:space="preserve"> HYPERLINK \l _Toc12904 </w:instrText>
      </w:r>
      <w:r>
        <w:rPr>
          <w:rFonts w:asciiTheme="minorEastAsia" w:hAnsiTheme="minorEastAsia"/>
        </w:rPr>
        <w:fldChar w:fldCharType="separate"/>
      </w:r>
      <w:r>
        <w:rPr>
          <w:rFonts w:hint="eastAsia"/>
        </w:rPr>
        <w:t>二、学生发展</w:t>
      </w:r>
      <w:r>
        <w:tab/>
      </w:r>
      <w:r>
        <w:fldChar w:fldCharType="begin"/>
      </w:r>
      <w:r>
        <w:instrText xml:space="preserve"> PAGEREF _Toc12904 </w:instrText>
      </w:r>
      <w:r>
        <w:fldChar w:fldCharType="separate"/>
      </w:r>
      <w:r>
        <w:t>2</w:t>
      </w:r>
      <w:r>
        <w:fldChar w:fldCharType="end"/>
      </w:r>
      <w:r>
        <w:rPr>
          <w:rFonts w:asciiTheme="minorEastAsia" w:hAnsiTheme="minorEastAsia"/>
        </w:rPr>
        <w:fldChar w:fldCharType="end"/>
      </w:r>
    </w:p>
    <w:p>
      <w:pPr>
        <w:pStyle w:val="16"/>
        <w:tabs>
          <w:tab w:val="right" w:leader="dot" w:pos="9746"/>
        </w:tabs>
      </w:pPr>
      <w:r>
        <w:rPr>
          <w:rFonts w:asciiTheme="minorEastAsia" w:hAnsiTheme="minorEastAsia"/>
        </w:rPr>
        <w:fldChar w:fldCharType="begin"/>
      </w:r>
      <w:r>
        <w:rPr>
          <w:rFonts w:asciiTheme="minorEastAsia" w:hAnsiTheme="minorEastAsia"/>
        </w:rPr>
        <w:instrText xml:space="preserve"> HYPERLINK \l _Toc13146 </w:instrText>
      </w:r>
      <w:r>
        <w:rPr>
          <w:rFonts w:asciiTheme="minorEastAsia" w:hAnsiTheme="minorEastAsia"/>
        </w:rPr>
        <w:fldChar w:fldCharType="separate"/>
      </w:r>
      <w:r>
        <w:rPr>
          <w:rFonts w:hint="eastAsia"/>
        </w:rPr>
        <w:t>（一）学生素质</w:t>
      </w:r>
      <w:r>
        <w:tab/>
      </w:r>
      <w:r>
        <w:fldChar w:fldCharType="begin"/>
      </w:r>
      <w:r>
        <w:instrText xml:space="preserve"> PAGEREF _Toc13146 </w:instrText>
      </w:r>
      <w:r>
        <w:fldChar w:fldCharType="separate"/>
      </w:r>
      <w:r>
        <w:t>2</w:t>
      </w:r>
      <w:r>
        <w:fldChar w:fldCharType="end"/>
      </w:r>
      <w:r>
        <w:rPr>
          <w:rFonts w:asciiTheme="minorEastAsia" w:hAnsiTheme="minorEastAsia"/>
        </w:rPr>
        <w:fldChar w:fldCharType="end"/>
      </w:r>
    </w:p>
    <w:p>
      <w:pPr>
        <w:pStyle w:val="16"/>
        <w:tabs>
          <w:tab w:val="right" w:leader="dot" w:pos="9746"/>
        </w:tabs>
      </w:pPr>
      <w:r>
        <w:rPr>
          <w:rFonts w:asciiTheme="minorEastAsia" w:hAnsiTheme="minorEastAsia"/>
        </w:rPr>
        <w:fldChar w:fldCharType="begin"/>
      </w:r>
      <w:r>
        <w:rPr>
          <w:rFonts w:asciiTheme="minorEastAsia" w:hAnsiTheme="minorEastAsia"/>
        </w:rPr>
        <w:instrText xml:space="preserve"> HYPERLINK \l _Toc18500 </w:instrText>
      </w:r>
      <w:r>
        <w:rPr>
          <w:rFonts w:asciiTheme="minorEastAsia" w:hAnsiTheme="minorEastAsia"/>
        </w:rPr>
        <w:fldChar w:fldCharType="separate"/>
      </w:r>
      <w:r>
        <w:rPr>
          <w:rFonts w:hint="eastAsia"/>
        </w:rPr>
        <w:t>（二）在校体验</w:t>
      </w:r>
      <w:r>
        <w:tab/>
      </w:r>
      <w:r>
        <w:fldChar w:fldCharType="begin"/>
      </w:r>
      <w:r>
        <w:instrText xml:space="preserve"> PAGEREF _Toc18500 </w:instrText>
      </w:r>
      <w:r>
        <w:fldChar w:fldCharType="separate"/>
      </w:r>
      <w:r>
        <w:t>2</w:t>
      </w:r>
      <w:r>
        <w:fldChar w:fldCharType="end"/>
      </w:r>
      <w:r>
        <w:rPr>
          <w:rFonts w:asciiTheme="minorEastAsia" w:hAnsiTheme="minorEastAsia"/>
        </w:rPr>
        <w:fldChar w:fldCharType="end"/>
      </w:r>
    </w:p>
    <w:p>
      <w:pPr>
        <w:pStyle w:val="16"/>
        <w:tabs>
          <w:tab w:val="right" w:leader="dot" w:pos="9746"/>
        </w:tabs>
      </w:pPr>
      <w:r>
        <w:rPr>
          <w:rFonts w:asciiTheme="minorEastAsia" w:hAnsiTheme="minorEastAsia"/>
        </w:rPr>
        <w:fldChar w:fldCharType="begin"/>
      </w:r>
      <w:r>
        <w:rPr>
          <w:rFonts w:asciiTheme="minorEastAsia" w:hAnsiTheme="minorEastAsia"/>
        </w:rPr>
        <w:instrText xml:space="preserve"> HYPERLINK \l _Toc8305 </w:instrText>
      </w:r>
      <w:r>
        <w:rPr>
          <w:rFonts w:asciiTheme="minorEastAsia" w:hAnsiTheme="minorEastAsia"/>
        </w:rPr>
        <w:fldChar w:fldCharType="separate"/>
      </w:r>
      <w:r>
        <w:rPr>
          <w:rFonts w:hint="eastAsia"/>
        </w:rPr>
        <w:t>（三）资助情况</w:t>
      </w:r>
      <w:r>
        <w:tab/>
      </w:r>
      <w:r>
        <w:fldChar w:fldCharType="begin"/>
      </w:r>
      <w:r>
        <w:instrText xml:space="preserve"> PAGEREF _Toc8305 </w:instrText>
      </w:r>
      <w:r>
        <w:fldChar w:fldCharType="separate"/>
      </w:r>
      <w:r>
        <w:t>3</w:t>
      </w:r>
      <w:r>
        <w:fldChar w:fldCharType="end"/>
      </w:r>
      <w:r>
        <w:rPr>
          <w:rFonts w:asciiTheme="minorEastAsia" w:hAnsiTheme="minorEastAsia"/>
        </w:rPr>
        <w:fldChar w:fldCharType="end"/>
      </w:r>
    </w:p>
    <w:p>
      <w:pPr>
        <w:pStyle w:val="16"/>
        <w:tabs>
          <w:tab w:val="right" w:leader="dot" w:pos="9746"/>
        </w:tabs>
      </w:pPr>
      <w:r>
        <w:rPr>
          <w:rFonts w:asciiTheme="minorEastAsia" w:hAnsiTheme="minorEastAsia"/>
        </w:rPr>
        <w:fldChar w:fldCharType="begin"/>
      </w:r>
      <w:r>
        <w:rPr>
          <w:rFonts w:asciiTheme="minorEastAsia" w:hAnsiTheme="minorEastAsia"/>
        </w:rPr>
        <w:instrText xml:space="preserve"> HYPERLINK \l _Toc30876 </w:instrText>
      </w:r>
      <w:r>
        <w:rPr>
          <w:rFonts w:asciiTheme="minorEastAsia" w:hAnsiTheme="minorEastAsia"/>
        </w:rPr>
        <w:fldChar w:fldCharType="separate"/>
      </w:r>
      <w:r>
        <w:rPr>
          <w:rFonts w:hint="eastAsia"/>
        </w:rPr>
        <w:t>（四）就业质量</w:t>
      </w:r>
      <w:r>
        <w:tab/>
      </w:r>
      <w:r>
        <w:fldChar w:fldCharType="begin"/>
      </w:r>
      <w:r>
        <w:instrText xml:space="preserve"> PAGEREF _Toc30876 </w:instrText>
      </w:r>
      <w:r>
        <w:fldChar w:fldCharType="separate"/>
      </w:r>
      <w:r>
        <w:t>3</w:t>
      </w:r>
      <w:r>
        <w:fldChar w:fldCharType="end"/>
      </w:r>
      <w:r>
        <w:rPr>
          <w:rFonts w:asciiTheme="minorEastAsia" w:hAnsiTheme="minorEastAsia"/>
        </w:rPr>
        <w:fldChar w:fldCharType="end"/>
      </w:r>
    </w:p>
    <w:p>
      <w:pPr>
        <w:pStyle w:val="16"/>
        <w:tabs>
          <w:tab w:val="right" w:leader="dot" w:pos="9746"/>
        </w:tabs>
      </w:pPr>
      <w:r>
        <w:rPr>
          <w:rFonts w:asciiTheme="minorEastAsia" w:hAnsiTheme="minorEastAsia"/>
        </w:rPr>
        <w:fldChar w:fldCharType="begin"/>
      </w:r>
      <w:r>
        <w:rPr>
          <w:rFonts w:asciiTheme="minorEastAsia" w:hAnsiTheme="minorEastAsia"/>
        </w:rPr>
        <w:instrText xml:space="preserve"> HYPERLINK \l _Toc7609 </w:instrText>
      </w:r>
      <w:r>
        <w:rPr>
          <w:rFonts w:asciiTheme="minorEastAsia" w:hAnsiTheme="minorEastAsia"/>
        </w:rPr>
        <w:fldChar w:fldCharType="separate"/>
      </w:r>
      <w:r>
        <w:rPr>
          <w:rFonts w:hint="eastAsia"/>
        </w:rPr>
        <w:t>（五）职业发展</w:t>
      </w:r>
      <w:r>
        <w:tab/>
      </w:r>
      <w:r>
        <w:fldChar w:fldCharType="begin"/>
      </w:r>
      <w:r>
        <w:instrText xml:space="preserve"> PAGEREF _Toc7609 </w:instrText>
      </w:r>
      <w:r>
        <w:fldChar w:fldCharType="separate"/>
      </w:r>
      <w:r>
        <w:t>3</w:t>
      </w:r>
      <w:r>
        <w:fldChar w:fldCharType="end"/>
      </w:r>
      <w:r>
        <w:rPr>
          <w:rFonts w:asciiTheme="minorEastAsia" w:hAnsiTheme="minorEastAsia"/>
        </w:rPr>
        <w:fldChar w:fldCharType="end"/>
      </w:r>
    </w:p>
    <w:p>
      <w:pPr>
        <w:pStyle w:val="12"/>
        <w:tabs>
          <w:tab w:val="right" w:leader="dot" w:pos="9746"/>
          <w:tab w:val="clear" w:pos="9736"/>
        </w:tabs>
      </w:pPr>
      <w:r>
        <w:rPr>
          <w:rFonts w:asciiTheme="minorEastAsia" w:hAnsiTheme="minorEastAsia"/>
        </w:rPr>
        <w:fldChar w:fldCharType="begin"/>
      </w:r>
      <w:r>
        <w:rPr>
          <w:rFonts w:asciiTheme="minorEastAsia" w:hAnsiTheme="minorEastAsia"/>
        </w:rPr>
        <w:instrText xml:space="preserve"> HYPERLINK \l _Toc30324 </w:instrText>
      </w:r>
      <w:r>
        <w:rPr>
          <w:rFonts w:asciiTheme="minorEastAsia" w:hAnsiTheme="minorEastAsia"/>
        </w:rPr>
        <w:fldChar w:fldCharType="separate"/>
      </w:r>
      <w:r>
        <w:rPr>
          <w:rFonts w:hint="eastAsia"/>
        </w:rPr>
        <w:t>三、质量保障措施</w:t>
      </w:r>
      <w:r>
        <w:tab/>
      </w:r>
      <w:r>
        <w:fldChar w:fldCharType="begin"/>
      </w:r>
      <w:r>
        <w:instrText xml:space="preserve"> PAGEREF _Toc30324 </w:instrText>
      </w:r>
      <w:r>
        <w:fldChar w:fldCharType="separate"/>
      </w:r>
      <w:r>
        <w:t>4</w:t>
      </w:r>
      <w:r>
        <w:fldChar w:fldCharType="end"/>
      </w:r>
      <w:r>
        <w:rPr>
          <w:rFonts w:asciiTheme="minorEastAsia" w:hAnsiTheme="minorEastAsia"/>
        </w:rPr>
        <w:fldChar w:fldCharType="end"/>
      </w:r>
    </w:p>
    <w:p>
      <w:pPr>
        <w:pStyle w:val="16"/>
        <w:tabs>
          <w:tab w:val="right" w:leader="dot" w:pos="9746"/>
        </w:tabs>
      </w:pPr>
      <w:r>
        <w:rPr>
          <w:rFonts w:asciiTheme="minorEastAsia" w:hAnsiTheme="minorEastAsia"/>
        </w:rPr>
        <w:fldChar w:fldCharType="begin"/>
      </w:r>
      <w:r>
        <w:rPr>
          <w:rFonts w:asciiTheme="minorEastAsia" w:hAnsiTheme="minorEastAsia"/>
        </w:rPr>
        <w:instrText xml:space="preserve"> HYPERLINK \l _Toc24895 </w:instrText>
      </w:r>
      <w:r>
        <w:rPr>
          <w:rFonts w:asciiTheme="minorEastAsia" w:hAnsiTheme="minorEastAsia"/>
        </w:rPr>
        <w:fldChar w:fldCharType="separate"/>
      </w:r>
      <w:r>
        <w:rPr>
          <w:rFonts w:hint="eastAsia"/>
        </w:rPr>
        <w:t>（一）专业动态调整</w:t>
      </w:r>
      <w:r>
        <w:tab/>
      </w:r>
      <w:r>
        <w:fldChar w:fldCharType="begin"/>
      </w:r>
      <w:r>
        <w:instrText xml:space="preserve"> PAGEREF _Toc24895 </w:instrText>
      </w:r>
      <w:r>
        <w:fldChar w:fldCharType="separate"/>
      </w:r>
      <w:r>
        <w:t>4</w:t>
      </w:r>
      <w:r>
        <w:fldChar w:fldCharType="end"/>
      </w:r>
      <w:r>
        <w:rPr>
          <w:rFonts w:asciiTheme="minorEastAsia" w:hAnsiTheme="minorEastAsia"/>
        </w:rPr>
        <w:fldChar w:fldCharType="end"/>
      </w:r>
    </w:p>
    <w:p>
      <w:pPr>
        <w:pStyle w:val="16"/>
        <w:tabs>
          <w:tab w:val="right" w:leader="dot" w:pos="9746"/>
        </w:tabs>
      </w:pPr>
      <w:r>
        <w:rPr>
          <w:rFonts w:asciiTheme="minorEastAsia" w:hAnsiTheme="minorEastAsia"/>
        </w:rPr>
        <w:fldChar w:fldCharType="begin"/>
      </w:r>
      <w:r>
        <w:rPr>
          <w:rFonts w:asciiTheme="minorEastAsia" w:hAnsiTheme="minorEastAsia"/>
        </w:rPr>
        <w:instrText xml:space="preserve"> HYPERLINK \l _Toc6749 </w:instrText>
      </w:r>
      <w:r>
        <w:rPr>
          <w:rFonts w:asciiTheme="minorEastAsia" w:hAnsiTheme="minorEastAsia"/>
        </w:rPr>
        <w:fldChar w:fldCharType="separate"/>
      </w:r>
      <w:r>
        <w:rPr>
          <w:rFonts w:hint="eastAsia"/>
        </w:rPr>
        <w:t>（二）教育教学改革</w:t>
      </w:r>
      <w:r>
        <w:tab/>
      </w:r>
      <w:r>
        <w:fldChar w:fldCharType="begin"/>
      </w:r>
      <w:r>
        <w:instrText xml:space="preserve"> PAGEREF _Toc6749 </w:instrText>
      </w:r>
      <w:r>
        <w:fldChar w:fldCharType="separate"/>
      </w:r>
      <w:r>
        <w:t>4</w:t>
      </w:r>
      <w:r>
        <w:fldChar w:fldCharType="end"/>
      </w:r>
      <w:r>
        <w:rPr>
          <w:rFonts w:asciiTheme="minorEastAsia" w:hAnsiTheme="minorEastAsia"/>
        </w:rPr>
        <w:fldChar w:fldCharType="end"/>
      </w:r>
    </w:p>
    <w:p>
      <w:pPr>
        <w:pStyle w:val="16"/>
        <w:tabs>
          <w:tab w:val="right" w:leader="dot" w:pos="9746"/>
        </w:tabs>
      </w:pPr>
      <w:r>
        <w:rPr>
          <w:rFonts w:asciiTheme="minorEastAsia" w:hAnsiTheme="minorEastAsia"/>
        </w:rPr>
        <w:fldChar w:fldCharType="begin"/>
      </w:r>
      <w:r>
        <w:rPr>
          <w:rFonts w:asciiTheme="minorEastAsia" w:hAnsiTheme="minorEastAsia"/>
        </w:rPr>
        <w:instrText xml:space="preserve"> HYPERLINK \l _Toc14648 </w:instrText>
      </w:r>
      <w:r>
        <w:rPr>
          <w:rFonts w:asciiTheme="minorEastAsia" w:hAnsiTheme="minorEastAsia"/>
        </w:rPr>
        <w:fldChar w:fldCharType="separate"/>
      </w:r>
      <w:r>
        <w:rPr>
          <w:rFonts w:hint="eastAsia"/>
        </w:rPr>
        <w:t>（三）教师培养培训</w:t>
      </w:r>
      <w:r>
        <w:tab/>
      </w:r>
      <w:r>
        <w:fldChar w:fldCharType="begin"/>
      </w:r>
      <w:r>
        <w:instrText xml:space="preserve"> PAGEREF _Toc14648 </w:instrText>
      </w:r>
      <w:r>
        <w:fldChar w:fldCharType="separate"/>
      </w:r>
      <w:r>
        <w:t>4</w:t>
      </w:r>
      <w:r>
        <w:fldChar w:fldCharType="end"/>
      </w:r>
      <w:r>
        <w:rPr>
          <w:rFonts w:asciiTheme="minorEastAsia" w:hAnsiTheme="minorEastAsia"/>
        </w:rPr>
        <w:fldChar w:fldCharType="end"/>
      </w:r>
    </w:p>
    <w:p>
      <w:pPr>
        <w:pStyle w:val="16"/>
        <w:tabs>
          <w:tab w:val="right" w:leader="dot" w:pos="9746"/>
        </w:tabs>
      </w:pPr>
      <w:r>
        <w:rPr>
          <w:rFonts w:asciiTheme="minorEastAsia" w:hAnsiTheme="minorEastAsia"/>
        </w:rPr>
        <w:fldChar w:fldCharType="begin"/>
      </w:r>
      <w:r>
        <w:rPr>
          <w:rFonts w:asciiTheme="minorEastAsia" w:hAnsiTheme="minorEastAsia"/>
        </w:rPr>
        <w:instrText xml:space="preserve"> HYPERLINK \l _Toc6643 </w:instrText>
      </w:r>
      <w:r>
        <w:rPr>
          <w:rFonts w:asciiTheme="minorEastAsia" w:hAnsiTheme="minorEastAsia"/>
        </w:rPr>
        <w:fldChar w:fldCharType="separate"/>
      </w:r>
      <w:r>
        <w:rPr>
          <w:rFonts w:hint="eastAsia"/>
        </w:rPr>
        <w:t>（四） 规范管理情况</w:t>
      </w:r>
      <w:r>
        <w:tab/>
      </w:r>
      <w:r>
        <w:fldChar w:fldCharType="begin"/>
      </w:r>
      <w:r>
        <w:instrText xml:space="preserve"> PAGEREF _Toc6643 </w:instrText>
      </w:r>
      <w:r>
        <w:fldChar w:fldCharType="separate"/>
      </w:r>
      <w:r>
        <w:t>4</w:t>
      </w:r>
      <w:r>
        <w:fldChar w:fldCharType="end"/>
      </w:r>
      <w:r>
        <w:rPr>
          <w:rFonts w:asciiTheme="minorEastAsia" w:hAnsiTheme="minorEastAsia"/>
        </w:rPr>
        <w:fldChar w:fldCharType="end"/>
      </w:r>
    </w:p>
    <w:p>
      <w:pPr>
        <w:pStyle w:val="16"/>
        <w:tabs>
          <w:tab w:val="right" w:leader="dot" w:pos="9746"/>
        </w:tabs>
      </w:pPr>
      <w:r>
        <w:rPr>
          <w:rFonts w:asciiTheme="minorEastAsia" w:hAnsiTheme="minorEastAsia"/>
        </w:rPr>
        <w:fldChar w:fldCharType="begin"/>
      </w:r>
      <w:r>
        <w:rPr>
          <w:rFonts w:asciiTheme="minorEastAsia" w:hAnsiTheme="minorEastAsia"/>
        </w:rPr>
        <w:instrText xml:space="preserve"> HYPERLINK \l _Toc11275 </w:instrText>
      </w:r>
      <w:r>
        <w:rPr>
          <w:rFonts w:asciiTheme="minorEastAsia" w:hAnsiTheme="minorEastAsia"/>
        </w:rPr>
        <w:fldChar w:fldCharType="separate"/>
      </w:r>
      <w:r>
        <w:rPr>
          <w:rFonts w:hint="eastAsia"/>
        </w:rPr>
        <w:t>（五） 德育工作情况</w:t>
      </w:r>
      <w:r>
        <w:tab/>
      </w:r>
      <w:r>
        <w:fldChar w:fldCharType="begin"/>
      </w:r>
      <w:r>
        <w:instrText xml:space="preserve"> PAGEREF _Toc11275 </w:instrText>
      </w:r>
      <w:r>
        <w:fldChar w:fldCharType="separate"/>
      </w:r>
      <w:r>
        <w:t>5</w:t>
      </w:r>
      <w:r>
        <w:fldChar w:fldCharType="end"/>
      </w:r>
      <w:r>
        <w:rPr>
          <w:rFonts w:asciiTheme="minorEastAsia" w:hAnsiTheme="minorEastAsia"/>
        </w:rPr>
        <w:fldChar w:fldCharType="end"/>
      </w:r>
    </w:p>
    <w:p>
      <w:pPr>
        <w:pStyle w:val="16"/>
        <w:tabs>
          <w:tab w:val="right" w:leader="dot" w:pos="9746"/>
        </w:tabs>
      </w:pPr>
      <w:r>
        <w:rPr>
          <w:rFonts w:asciiTheme="minorEastAsia" w:hAnsiTheme="minorEastAsia"/>
        </w:rPr>
        <w:fldChar w:fldCharType="begin"/>
      </w:r>
      <w:r>
        <w:rPr>
          <w:rFonts w:asciiTheme="minorEastAsia" w:hAnsiTheme="minorEastAsia"/>
        </w:rPr>
        <w:instrText xml:space="preserve"> HYPERLINK \l _Toc21596 </w:instrText>
      </w:r>
      <w:r>
        <w:rPr>
          <w:rFonts w:asciiTheme="minorEastAsia" w:hAnsiTheme="minorEastAsia"/>
        </w:rPr>
        <w:fldChar w:fldCharType="separate"/>
      </w:r>
      <w:r>
        <w:rPr>
          <w:rFonts w:hint="eastAsia"/>
        </w:rPr>
        <w:t>（六）党建情况</w:t>
      </w:r>
      <w:r>
        <w:tab/>
      </w:r>
      <w:r>
        <w:fldChar w:fldCharType="begin"/>
      </w:r>
      <w:r>
        <w:instrText xml:space="preserve"> PAGEREF _Toc21596 </w:instrText>
      </w:r>
      <w:r>
        <w:fldChar w:fldCharType="separate"/>
      </w:r>
      <w:r>
        <w:t>5</w:t>
      </w:r>
      <w:r>
        <w:fldChar w:fldCharType="end"/>
      </w:r>
      <w:r>
        <w:rPr>
          <w:rFonts w:asciiTheme="minorEastAsia" w:hAnsiTheme="minorEastAsia"/>
        </w:rPr>
        <w:fldChar w:fldCharType="end"/>
      </w:r>
    </w:p>
    <w:p>
      <w:pPr>
        <w:pStyle w:val="12"/>
        <w:tabs>
          <w:tab w:val="right" w:leader="dot" w:pos="9746"/>
          <w:tab w:val="clear" w:pos="9736"/>
        </w:tabs>
      </w:pPr>
      <w:r>
        <w:rPr>
          <w:rFonts w:asciiTheme="minorEastAsia" w:hAnsiTheme="minorEastAsia"/>
        </w:rPr>
        <w:fldChar w:fldCharType="begin"/>
      </w:r>
      <w:r>
        <w:rPr>
          <w:rFonts w:asciiTheme="minorEastAsia" w:hAnsiTheme="minorEastAsia"/>
        </w:rPr>
        <w:instrText xml:space="preserve"> HYPERLINK \l _Toc3410 </w:instrText>
      </w:r>
      <w:r>
        <w:rPr>
          <w:rFonts w:asciiTheme="minorEastAsia" w:hAnsiTheme="minorEastAsia"/>
        </w:rPr>
        <w:fldChar w:fldCharType="separate"/>
      </w:r>
      <w:r>
        <w:rPr>
          <w:rFonts w:hint="eastAsia"/>
        </w:rPr>
        <w:t>四、校企合作</w:t>
      </w:r>
      <w:r>
        <w:tab/>
      </w:r>
      <w:r>
        <w:fldChar w:fldCharType="begin"/>
      </w:r>
      <w:r>
        <w:instrText xml:space="preserve"> PAGEREF _Toc3410 </w:instrText>
      </w:r>
      <w:r>
        <w:fldChar w:fldCharType="separate"/>
      </w:r>
      <w:r>
        <w:t>6</w:t>
      </w:r>
      <w:r>
        <w:fldChar w:fldCharType="end"/>
      </w:r>
      <w:r>
        <w:rPr>
          <w:rFonts w:asciiTheme="minorEastAsia" w:hAnsiTheme="minorEastAsia"/>
        </w:rPr>
        <w:fldChar w:fldCharType="end"/>
      </w:r>
    </w:p>
    <w:p>
      <w:pPr>
        <w:pStyle w:val="16"/>
        <w:tabs>
          <w:tab w:val="right" w:leader="dot" w:pos="9746"/>
        </w:tabs>
      </w:pPr>
      <w:r>
        <w:rPr>
          <w:rFonts w:asciiTheme="minorEastAsia" w:hAnsiTheme="minorEastAsia"/>
        </w:rPr>
        <w:fldChar w:fldCharType="begin"/>
      </w:r>
      <w:r>
        <w:rPr>
          <w:rFonts w:asciiTheme="minorEastAsia" w:hAnsiTheme="minorEastAsia"/>
        </w:rPr>
        <w:instrText xml:space="preserve"> HYPERLINK \l _Toc9125 </w:instrText>
      </w:r>
      <w:r>
        <w:rPr>
          <w:rFonts w:asciiTheme="minorEastAsia" w:hAnsiTheme="minorEastAsia"/>
        </w:rPr>
        <w:fldChar w:fldCharType="separate"/>
      </w:r>
      <w:r>
        <w:rPr>
          <w:rFonts w:hint="eastAsia"/>
        </w:rPr>
        <w:t>（一）校企合作开展情况和效果</w:t>
      </w:r>
      <w:r>
        <w:tab/>
      </w:r>
      <w:r>
        <w:fldChar w:fldCharType="begin"/>
      </w:r>
      <w:r>
        <w:instrText xml:space="preserve"> PAGEREF _Toc9125 </w:instrText>
      </w:r>
      <w:r>
        <w:fldChar w:fldCharType="separate"/>
      </w:r>
      <w:r>
        <w:t>6</w:t>
      </w:r>
      <w:r>
        <w:fldChar w:fldCharType="end"/>
      </w:r>
      <w:r>
        <w:rPr>
          <w:rFonts w:asciiTheme="minorEastAsia" w:hAnsiTheme="minorEastAsia"/>
        </w:rPr>
        <w:fldChar w:fldCharType="end"/>
      </w:r>
    </w:p>
    <w:p>
      <w:pPr>
        <w:pStyle w:val="16"/>
        <w:tabs>
          <w:tab w:val="right" w:leader="dot" w:pos="9746"/>
        </w:tabs>
      </w:pPr>
      <w:r>
        <w:rPr>
          <w:rFonts w:asciiTheme="minorEastAsia" w:hAnsiTheme="minorEastAsia"/>
        </w:rPr>
        <w:fldChar w:fldCharType="begin"/>
      </w:r>
      <w:r>
        <w:rPr>
          <w:rFonts w:asciiTheme="minorEastAsia" w:hAnsiTheme="minorEastAsia"/>
        </w:rPr>
        <w:instrText xml:space="preserve"> HYPERLINK \l _Toc22587 </w:instrText>
      </w:r>
      <w:r>
        <w:rPr>
          <w:rFonts w:asciiTheme="minorEastAsia" w:hAnsiTheme="minorEastAsia"/>
        </w:rPr>
        <w:fldChar w:fldCharType="separate"/>
      </w:r>
      <w:r>
        <w:rPr>
          <w:rFonts w:hint="eastAsia"/>
        </w:rPr>
        <w:t xml:space="preserve">（二） </w:t>
      </w:r>
      <w:r>
        <w:rPr>
          <w:rFonts w:hint="eastAsia"/>
          <w:lang w:val="en-US" w:eastAsia="zh-CN"/>
        </w:rPr>
        <w:t>学生实习</w:t>
      </w:r>
      <w:r>
        <w:rPr>
          <w:rFonts w:hint="eastAsia"/>
        </w:rPr>
        <w:t>情况</w:t>
      </w:r>
      <w:r>
        <w:tab/>
      </w:r>
      <w:r>
        <w:fldChar w:fldCharType="begin"/>
      </w:r>
      <w:r>
        <w:instrText xml:space="preserve"> PAGEREF _Toc22587 </w:instrText>
      </w:r>
      <w:r>
        <w:fldChar w:fldCharType="separate"/>
      </w:r>
      <w:r>
        <w:t>6</w:t>
      </w:r>
      <w:r>
        <w:fldChar w:fldCharType="end"/>
      </w:r>
      <w:r>
        <w:rPr>
          <w:rFonts w:asciiTheme="minorEastAsia" w:hAnsiTheme="minorEastAsia"/>
        </w:rPr>
        <w:fldChar w:fldCharType="end"/>
      </w:r>
    </w:p>
    <w:p>
      <w:pPr>
        <w:pStyle w:val="16"/>
        <w:tabs>
          <w:tab w:val="right" w:leader="dot" w:pos="9746"/>
        </w:tabs>
      </w:pPr>
      <w:r>
        <w:rPr>
          <w:rFonts w:asciiTheme="minorEastAsia" w:hAnsiTheme="minorEastAsia"/>
        </w:rPr>
        <w:fldChar w:fldCharType="begin"/>
      </w:r>
      <w:r>
        <w:rPr>
          <w:rFonts w:asciiTheme="minorEastAsia" w:hAnsiTheme="minorEastAsia"/>
        </w:rPr>
        <w:instrText xml:space="preserve"> HYPERLINK \l _Toc25142 </w:instrText>
      </w:r>
      <w:r>
        <w:rPr>
          <w:rFonts w:asciiTheme="minorEastAsia" w:hAnsiTheme="minorEastAsia"/>
        </w:rPr>
        <w:fldChar w:fldCharType="separate"/>
      </w:r>
      <w:r>
        <w:rPr>
          <w:rFonts w:hint="eastAsia"/>
        </w:rPr>
        <w:t>（三） 集团化办学情况</w:t>
      </w:r>
      <w:r>
        <w:tab/>
      </w:r>
      <w:r>
        <w:fldChar w:fldCharType="begin"/>
      </w:r>
      <w:r>
        <w:instrText xml:space="preserve"> PAGEREF _Toc25142 </w:instrText>
      </w:r>
      <w:r>
        <w:fldChar w:fldCharType="separate"/>
      </w:r>
      <w:r>
        <w:t>6</w:t>
      </w:r>
      <w:r>
        <w:fldChar w:fldCharType="end"/>
      </w:r>
      <w:r>
        <w:rPr>
          <w:rFonts w:asciiTheme="minorEastAsia" w:hAnsiTheme="minorEastAsia"/>
        </w:rPr>
        <w:fldChar w:fldCharType="end"/>
      </w:r>
    </w:p>
    <w:p>
      <w:pPr>
        <w:pStyle w:val="12"/>
        <w:tabs>
          <w:tab w:val="right" w:leader="dot" w:pos="9746"/>
          <w:tab w:val="clear" w:pos="9736"/>
        </w:tabs>
      </w:pPr>
      <w:r>
        <w:rPr>
          <w:rFonts w:asciiTheme="minorEastAsia" w:hAnsiTheme="minorEastAsia"/>
        </w:rPr>
        <w:fldChar w:fldCharType="begin"/>
      </w:r>
      <w:r>
        <w:rPr>
          <w:rFonts w:asciiTheme="minorEastAsia" w:hAnsiTheme="minorEastAsia"/>
        </w:rPr>
        <w:instrText xml:space="preserve"> HYPERLINK \l _Toc25021 </w:instrText>
      </w:r>
      <w:r>
        <w:rPr>
          <w:rFonts w:asciiTheme="minorEastAsia" w:hAnsiTheme="minorEastAsia"/>
        </w:rPr>
        <w:fldChar w:fldCharType="separate"/>
      </w:r>
      <w:r>
        <w:rPr>
          <w:rFonts w:hint="eastAsia"/>
        </w:rPr>
        <w:t>五、社会贡献</w:t>
      </w:r>
      <w:r>
        <w:tab/>
      </w:r>
      <w:r>
        <w:fldChar w:fldCharType="begin"/>
      </w:r>
      <w:r>
        <w:instrText xml:space="preserve"> PAGEREF _Toc25021 </w:instrText>
      </w:r>
      <w:r>
        <w:fldChar w:fldCharType="separate"/>
      </w:r>
      <w:r>
        <w:t>7</w:t>
      </w:r>
      <w:r>
        <w:fldChar w:fldCharType="end"/>
      </w:r>
      <w:r>
        <w:rPr>
          <w:rFonts w:asciiTheme="minorEastAsia" w:hAnsiTheme="minorEastAsia"/>
        </w:rPr>
        <w:fldChar w:fldCharType="end"/>
      </w:r>
    </w:p>
    <w:p>
      <w:pPr>
        <w:pStyle w:val="16"/>
        <w:tabs>
          <w:tab w:val="right" w:leader="dot" w:pos="9746"/>
        </w:tabs>
      </w:pPr>
      <w:r>
        <w:rPr>
          <w:rFonts w:asciiTheme="minorEastAsia" w:hAnsiTheme="minorEastAsia"/>
        </w:rPr>
        <w:fldChar w:fldCharType="begin"/>
      </w:r>
      <w:r>
        <w:rPr>
          <w:rFonts w:asciiTheme="minorEastAsia" w:hAnsiTheme="minorEastAsia"/>
        </w:rPr>
        <w:instrText xml:space="preserve"> HYPERLINK \l _Toc3250 </w:instrText>
      </w:r>
      <w:r>
        <w:rPr>
          <w:rFonts w:asciiTheme="minorEastAsia" w:hAnsiTheme="minorEastAsia"/>
        </w:rPr>
        <w:fldChar w:fldCharType="separate"/>
      </w:r>
      <w:r>
        <w:rPr>
          <w:rFonts w:hint="eastAsia"/>
        </w:rPr>
        <w:t>（一）技术技能人才培养</w:t>
      </w:r>
      <w:r>
        <w:tab/>
      </w:r>
      <w:r>
        <w:fldChar w:fldCharType="begin"/>
      </w:r>
      <w:r>
        <w:instrText xml:space="preserve"> PAGEREF _Toc3250 </w:instrText>
      </w:r>
      <w:r>
        <w:fldChar w:fldCharType="separate"/>
      </w:r>
      <w:r>
        <w:t>7</w:t>
      </w:r>
      <w:r>
        <w:fldChar w:fldCharType="end"/>
      </w:r>
      <w:r>
        <w:rPr>
          <w:rFonts w:asciiTheme="minorEastAsia" w:hAnsiTheme="minorEastAsia"/>
        </w:rPr>
        <w:fldChar w:fldCharType="end"/>
      </w:r>
    </w:p>
    <w:p>
      <w:pPr>
        <w:pStyle w:val="16"/>
        <w:tabs>
          <w:tab w:val="right" w:leader="dot" w:pos="9746"/>
        </w:tabs>
      </w:pPr>
      <w:r>
        <w:rPr>
          <w:rFonts w:asciiTheme="minorEastAsia" w:hAnsiTheme="minorEastAsia"/>
        </w:rPr>
        <w:fldChar w:fldCharType="begin"/>
      </w:r>
      <w:r>
        <w:rPr>
          <w:rFonts w:asciiTheme="minorEastAsia" w:hAnsiTheme="minorEastAsia"/>
        </w:rPr>
        <w:instrText xml:space="preserve"> HYPERLINK \l _Toc18791 </w:instrText>
      </w:r>
      <w:r>
        <w:rPr>
          <w:rFonts w:asciiTheme="minorEastAsia" w:hAnsiTheme="minorEastAsia"/>
        </w:rPr>
        <w:fldChar w:fldCharType="separate"/>
      </w:r>
      <w:r>
        <w:rPr>
          <w:rFonts w:hint="eastAsia"/>
        </w:rPr>
        <w:t xml:space="preserve">（二） </w:t>
      </w:r>
      <w:r>
        <w:rPr>
          <w:rFonts w:hint="eastAsia"/>
          <w:lang w:val="en-US" w:eastAsia="zh-CN"/>
        </w:rPr>
        <w:t>社会服务</w:t>
      </w:r>
      <w:r>
        <w:tab/>
      </w:r>
      <w:r>
        <w:fldChar w:fldCharType="begin"/>
      </w:r>
      <w:r>
        <w:instrText xml:space="preserve"> PAGEREF _Toc18791 </w:instrText>
      </w:r>
      <w:r>
        <w:fldChar w:fldCharType="separate"/>
      </w:r>
      <w:r>
        <w:t>7</w:t>
      </w:r>
      <w:r>
        <w:fldChar w:fldCharType="end"/>
      </w:r>
      <w:r>
        <w:rPr>
          <w:rFonts w:asciiTheme="minorEastAsia" w:hAnsiTheme="minorEastAsia"/>
        </w:rPr>
        <w:fldChar w:fldCharType="end"/>
      </w:r>
    </w:p>
    <w:p>
      <w:pPr>
        <w:pStyle w:val="16"/>
        <w:tabs>
          <w:tab w:val="right" w:leader="dot" w:pos="9746"/>
        </w:tabs>
      </w:pPr>
      <w:r>
        <w:rPr>
          <w:rFonts w:asciiTheme="minorEastAsia" w:hAnsiTheme="minorEastAsia"/>
        </w:rPr>
        <w:fldChar w:fldCharType="begin"/>
      </w:r>
      <w:r>
        <w:rPr>
          <w:rFonts w:asciiTheme="minorEastAsia" w:hAnsiTheme="minorEastAsia"/>
        </w:rPr>
        <w:instrText xml:space="preserve"> HYPERLINK \l _Toc27641 </w:instrText>
      </w:r>
      <w:r>
        <w:rPr>
          <w:rFonts w:asciiTheme="minorEastAsia" w:hAnsiTheme="minorEastAsia"/>
        </w:rPr>
        <w:fldChar w:fldCharType="separate"/>
      </w:r>
      <w:r>
        <w:rPr>
          <w:rFonts w:hint="eastAsia"/>
        </w:rPr>
        <w:t>（三） 对口支援</w:t>
      </w:r>
      <w:r>
        <w:tab/>
      </w:r>
      <w:r>
        <w:fldChar w:fldCharType="begin"/>
      </w:r>
      <w:r>
        <w:instrText xml:space="preserve"> PAGEREF _Toc27641 </w:instrText>
      </w:r>
      <w:r>
        <w:fldChar w:fldCharType="separate"/>
      </w:r>
      <w:r>
        <w:t>7</w:t>
      </w:r>
      <w:r>
        <w:fldChar w:fldCharType="end"/>
      </w:r>
      <w:r>
        <w:rPr>
          <w:rFonts w:asciiTheme="minorEastAsia" w:hAnsiTheme="minorEastAsia"/>
        </w:rPr>
        <w:fldChar w:fldCharType="end"/>
      </w:r>
    </w:p>
    <w:p>
      <w:pPr>
        <w:pStyle w:val="12"/>
        <w:tabs>
          <w:tab w:val="right" w:leader="dot" w:pos="9746"/>
          <w:tab w:val="clear" w:pos="9736"/>
        </w:tabs>
      </w:pPr>
      <w:r>
        <w:rPr>
          <w:rFonts w:asciiTheme="minorEastAsia" w:hAnsiTheme="minorEastAsia"/>
        </w:rPr>
        <w:fldChar w:fldCharType="begin"/>
      </w:r>
      <w:r>
        <w:rPr>
          <w:rFonts w:asciiTheme="minorEastAsia" w:hAnsiTheme="minorEastAsia"/>
        </w:rPr>
        <w:instrText xml:space="preserve"> HYPERLINK \l _Toc1508 </w:instrText>
      </w:r>
      <w:r>
        <w:rPr>
          <w:rFonts w:asciiTheme="minorEastAsia" w:hAnsiTheme="minorEastAsia"/>
        </w:rPr>
        <w:fldChar w:fldCharType="separate"/>
      </w:r>
      <w:r>
        <w:rPr>
          <w:rFonts w:hint="eastAsia"/>
        </w:rPr>
        <w:t>六、举办者履责</w:t>
      </w:r>
      <w:r>
        <w:tab/>
      </w:r>
      <w:r>
        <w:fldChar w:fldCharType="begin"/>
      </w:r>
      <w:r>
        <w:instrText xml:space="preserve"> PAGEREF _Toc1508 </w:instrText>
      </w:r>
      <w:r>
        <w:fldChar w:fldCharType="separate"/>
      </w:r>
      <w:r>
        <w:t>7</w:t>
      </w:r>
      <w:r>
        <w:fldChar w:fldCharType="end"/>
      </w:r>
      <w:r>
        <w:rPr>
          <w:rFonts w:asciiTheme="minorEastAsia" w:hAnsiTheme="minorEastAsia"/>
        </w:rPr>
        <w:fldChar w:fldCharType="end"/>
      </w:r>
    </w:p>
    <w:p>
      <w:pPr>
        <w:pStyle w:val="16"/>
        <w:tabs>
          <w:tab w:val="right" w:leader="dot" w:pos="9746"/>
        </w:tabs>
      </w:pPr>
      <w:r>
        <w:rPr>
          <w:rFonts w:asciiTheme="minorEastAsia" w:hAnsiTheme="minorEastAsia"/>
        </w:rPr>
        <w:fldChar w:fldCharType="begin"/>
      </w:r>
      <w:r>
        <w:rPr>
          <w:rFonts w:asciiTheme="minorEastAsia" w:hAnsiTheme="minorEastAsia"/>
        </w:rPr>
        <w:instrText xml:space="preserve"> HYPERLINK \l _Toc20525 </w:instrText>
      </w:r>
      <w:r>
        <w:rPr>
          <w:rFonts w:asciiTheme="minorEastAsia" w:hAnsiTheme="minorEastAsia"/>
        </w:rPr>
        <w:fldChar w:fldCharType="separate"/>
      </w:r>
      <w:r>
        <w:rPr>
          <w:rFonts w:hint="eastAsia"/>
        </w:rPr>
        <w:t>（一）经费</w:t>
      </w:r>
      <w:r>
        <w:tab/>
      </w:r>
      <w:r>
        <w:fldChar w:fldCharType="begin"/>
      </w:r>
      <w:r>
        <w:instrText xml:space="preserve"> PAGEREF _Toc20525 </w:instrText>
      </w:r>
      <w:r>
        <w:fldChar w:fldCharType="separate"/>
      </w:r>
      <w:r>
        <w:t>7</w:t>
      </w:r>
      <w:r>
        <w:fldChar w:fldCharType="end"/>
      </w:r>
      <w:r>
        <w:rPr>
          <w:rFonts w:asciiTheme="minorEastAsia" w:hAnsiTheme="minorEastAsia"/>
        </w:rPr>
        <w:fldChar w:fldCharType="end"/>
      </w:r>
    </w:p>
    <w:p>
      <w:pPr>
        <w:pStyle w:val="16"/>
        <w:tabs>
          <w:tab w:val="right" w:leader="dot" w:pos="9746"/>
        </w:tabs>
      </w:pPr>
      <w:r>
        <w:rPr>
          <w:rFonts w:asciiTheme="minorEastAsia" w:hAnsiTheme="minorEastAsia"/>
        </w:rPr>
        <w:fldChar w:fldCharType="begin"/>
      </w:r>
      <w:r>
        <w:rPr>
          <w:rFonts w:asciiTheme="minorEastAsia" w:hAnsiTheme="minorEastAsia"/>
        </w:rPr>
        <w:instrText xml:space="preserve"> HYPERLINK \l _Toc4712 </w:instrText>
      </w:r>
      <w:r>
        <w:rPr>
          <w:rFonts w:asciiTheme="minorEastAsia" w:hAnsiTheme="minorEastAsia"/>
        </w:rPr>
        <w:fldChar w:fldCharType="separate"/>
      </w:r>
      <w:r>
        <w:rPr>
          <w:rFonts w:hint="eastAsia"/>
        </w:rPr>
        <w:t>（二）政策措施</w:t>
      </w:r>
      <w:r>
        <w:tab/>
      </w:r>
      <w:r>
        <w:fldChar w:fldCharType="begin"/>
      </w:r>
      <w:r>
        <w:instrText xml:space="preserve"> PAGEREF _Toc4712 </w:instrText>
      </w:r>
      <w:r>
        <w:fldChar w:fldCharType="separate"/>
      </w:r>
      <w:r>
        <w:t>7</w:t>
      </w:r>
      <w:r>
        <w:fldChar w:fldCharType="end"/>
      </w:r>
      <w:r>
        <w:rPr>
          <w:rFonts w:asciiTheme="minorEastAsia" w:hAnsiTheme="minorEastAsia"/>
        </w:rPr>
        <w:fldChar w:fldCharType="end"/>
      </w:r>
    </w:p>
    <w:p>
      <w:pPr>
        <w:pStyle w:val="12"/>
        <w:tabs>
          <w:tab w:val="right" w:leader="dot" w:pos="9746"/>
          <w:tab w:val="clear" w:pos="9736"/>
        </w:tabs>
      </w:pPr>
      <w:r>
        <w:rPr>
          <w:rFonts w:asciiTheme="minorEastAsia" w:hAnsiTheme="minorEastAsia"/>
        </w:rPr>
        <w:fldChar w:fldCharType="begin"/>
      </w:r>
      <w:r>
        <w:rPr>
          <w:rFonts w:asciiTheme="minorEastAsia" w:hAnsiTheme="minorEastAsia"/>
        </w:rPr>
        <w:instrText xml:space="preserve"> HYPERLINK \l _Toc27877 </w:instrText>
      </w:r>
      <w:r>
        <w:rPr>
          <w:rFonts w:asciiTheme="minorEastAsia" w:hAnsiTheme="minorEastAsia"/>
        </w:rPr>
        <w:fldChar w:fldCharType="separate"/>
      </w:r>
      <w:r>
        <w:rPr>
          <w:rFonts w:hint="eastAsia"/>
        </w:rPr>
        <w:t>七、特色创新</w:t>
      </w:r>
      <w:r>
        <w:tab/>
      </w:r>
      <w:r>
        <w:fldChar w:fldCharType="begin"/>
      </w:r>
      <w:r>
        <w:instrText xml:space="preserve"> PAGEREF _Toc27877 </w:instrText>
      </w:r>
      <w:r>
        <w:fldChar w:fldCharType="separate"/>
      </w:r>
      <w:r>
        <w:t>7</w:t>
      </w:r>
      <w:r>
        <w:fldChar w:fldCharType="end"/>
      </w:r>
      <w:r>
        <w:rPr>
          <w:rFonts w:asciiTheme="minorEastAsia" w:hAnsiTheme="minorEastAsia"/>
        </w:rPr>
        <w:fldChar w:fldCharType="end"/>
      </w:r>
    </w:p>
    <w:p>
      <w:pPr>
        <w:pStyle w:val="12"/>
        <w:tabs>
          <w:tab w:val="right" w:leader="dot" w:pos="9746"/>
          <w:tab w:val="clear" w:pos="9736"/>
        </w:tabs>
      </w:pPr>
      <w:r>
        <w:rPr>
          <w:rFonts w:asciiTheme="minorEastAsia" w:hAnsiTheme="minorEastAsia"/>
        </w:rPr>
        <w:fldChar w:fldCharType="begin"/>
      </w:r>
      <w:r>
        <w:rPr>
          <w:rFonts w:asciiTheme="minorEastAsia" w:hAnsiTheme="minorEastAsia"/>
        </w:rPr>
        <w:instrText xml:space="preserve"> HYPERLINK \l _Toc11415 </w:instrText>
      </w:r>
      <w:r>
        <w:rPr>
          <w:rFonts w:asciiTheme="minorEastAsia" w:hAnsiTheme="minorEastAsia"/>
        </w:rPr>
        <w:fldChar w:fldCharType="separate"/>
      </w:r>
      <w:r>
        <w:rPr>
          <w:rFonts w:hint="eastAsia"/>
        </w:rPr>
        <w:t>八、主要问题和改进措施</w:t>
      </w:r>
      <w:r>
        <w:tab/>
      </w:r>
      <w:r>
        <w:fldChar w:fldCharType="begin"/>
      </w:r>
      <w:r>
        <w:instrText xml:space="preserve"> PAGEREF _Toc11415 </w:instrText>
      </w:r>
      <w:r>
        <w:fldChar w:fldCharType="separate"/>
      </w:r>
      <w:r>
        <w:t>8</w:t>
      </w:r>
      <w:r>
        <w:fldChar w:fldCharType="end"/>
      </w:r>
      <w:r>
        <w:rPr>
          <w:rFonts w:asciiTheme="minorEastAsia" w:hAnsiTheme="minorEastAsia"/>
        </w:rPr>
        <w:fldChar w:fldCharType="end"/>
      </w:r>
    </w:p>
    <w:p>
      <w:pPr>
        <w:widowControl/>
        <w:ind w:firstLine="0" w:firstLineChars="0"/>
        <w:jc w:val="left"/>
        <w:sectPr>
          <w:headerReference r:id="rId5" w:type="first"/>
          <w:footerReference r:id="rId8" w:type="first"/>
          <w:headerReference r:id="rId3" w:type="default"/>
          <w:footerReference r:id="rId6" w:type="default"/>
          <w:headerReference r:id="rId4" w:type="even"/>
          <w:footerReference r:id="rId7" w:type="even"/>
          <w:pgSz w:w="11906" w:h="16838"/>
          <w:pgMar w:top="1157" w:right="1080" w:bottom="1440" w:left="1080" w:header="510" w:footer="992" w:gutter="0"/>
          <w:pgNumType w:start="1"/>
          <w:cols w:space="425" w:num="1"/>
          <w:docGrid w:type="lines" w:linePitch="381" w:charSpace="0"/>
        </w:sectPr>
      </w:pPr>
      <w:r>
        <w:rPr>
          <w:rFonts w:asciiTheme="minorEastAsia" w:hAnsiTheme="minorEastAsia"/>
          <w:sz w:val="36"/>
        </w:rPr>
        <w:fldChar w:fldCharType="end"/>
      </w:r>
      <w:bookmarkStart w:id="0" w:name="_Toc503883942"/>
      <w:bookmarkStart w:id="1" w:name="_Toc503883817"/>
    </w:p>
    <w:p>
      <w:pPr>
        <w:pStyle w:val="14"/>
        <w:spacing w:line="360" w:lineRule="auto"/>
        <w:ind w:left="560" w:firstLine="643"/>
        <w:rPr>
          <w:sz w:val="28"/>
        </w:rPr>
      </w:pPr>
      <w:bookmarkStart w:id="2" w:name="_Toc20105"/>
      <w:bookmarkStart w:id="3" w:name="_Toc507142048"/>
      <w:r>
        <w:rPr>
          <w:rFonts w:hint="eastAsia"/>
        </w:rPr>
        <w:t>郑州新华中等专业学校年度质量报告</w:t>
      </w:r>
      <w:bookmarkEnd w:id="0"/>
      <w:bookmarkEnd w:id="1"/>
      <w:bookmarkEnd w:id="2"/>
      <w:bookmarkEnd w:id="3"/>
    </w:p>
    <w:p>
      <w:pPr>
        <w:pStyle w:val="2"/>
        <w:spacing w:line="360" w:lineRule="auto"/>
        <w:ind w:firstLine="562"/>
      </w:pPr>
      <w:bookmarkStart w:id="4" w:name="_Toc503883818"/>
      <w:bookmarkStart w:id="5" w:name="_Toc25968"/>
      <w:r>
        <w:rPr>
          <w:rFonts w:hint="eastAsia"/>
        </w:rPr>
        <w:t>一、学校情况</w:t>
      </w:r>
      <w:bookmarkEnd w:id="4"/>
      <w:bookmarkEnd w:id="5"/>
    </w:p>
    <w:p>
      <w:pPr>
        <w:pStyle w:val="3"/>
        <w:spacing w:line="360" w:lineRule="auto"/>
        <w:ind w:firstLine="422"/>
      </w:pPr>
      <w:bookmarkStart w:id="6" w:name="_Toc503883819"/>
      <w:bookmarkStart w:id="7" w:name="_Toc29109"/>
      <w:r>
        <w:rPr>
          <w:rFonts w:hint="eastAsia"/>
        </w:rPr>
        <w:t>（一）学校概况</w:t>
      </w:r>
      <w:bookmarkEnd w:id="6"/>
      <w:bookmarkEnd w:id="7"/>
    </w:p>
    <w:p>
      <w:pPr>
        <w:spacing w:line="360" w:lineRule="auto"/>
        <w:ind w:firstLine="560"/>
      </w:pPr>
      <w:bookmarkStart w:id="8" w:name="_Toc503883820"/>
      <w:r>
        <w:rPr>
          <w:rFonts w:hint="eastAsia"/>
        </w:rPr>
        <w:t>郑州新华中等专业学校成立于2005年6月，是经郑州市教育局批准，由安徽新华教育集团有限公司投资兴办的一所大型专业数字艺术人才和信息技术人才教育基地，学校类型为中等职业学校。学校占地53亩，建筑面积43000平方米。自创建之日起，坚持社会主义办学方针，以市场需求为导向，认真贯彻党的各项教育方针政策，切实执行《民办教育促进法》，坚持“新华教育，兴教报国”的办学理念，以培养服务于社会经济发展的合格人才为目标；坚持以教育教学质量为生命线，以“互联、通达、修身、精技”为校训，以“中国优秀设计师的摇篮”为办学目标，深化教育改革，创新教育观念，注重学生动手、实践能力培养，努力提高办学质量。</w:t>
      </w:r>
    </w:p>
    <w:p>
      <w:pPr>
        <w:pStyle w:val="3"/>
        <w:ind w:firstLine="422"/>
      </w:pPr>
      <w:bookmarkStart w:id="9" w:name="_Toc27565"/>
      <w:r>
        <w:rPr>
          <w:rFonts w:hint="eastAsia"/>
        </w:rPr>
        <w:t xml:space="preserve">（二） </w:t>
      </w:r>
      <w:r>
        <w:rPr>
          <w:rStyle w:val="22"/>
          <w:rFonts w:hint="eastAsia"/>
          <w:b/>
          <w:bCs/>
          <w:kern w:val="2"/>
          <w:szCs w:val="32"/>
        </w:rPr>
        <w:t>学生情况</w:t>
      </w:r>
      <w:bookmarkEnd w:id="8"/>
      <w:bookmarkEnd w:id="9"/>
    </w:p>
    <w:p>
      <w:pPr>
        <w:spacing w:line="360" w:lineRule="auto"/>
        <w:ind w:firstLine="560"/>
        <w:rPr>
          <w:color w:val="auto"/>
        </w:rPr>
      </w:pPr>
      <w:r>
        <w:rPr>
          <w:rFonts w:hint="eastAsia"/>
        </w:rPr>
        <w:t>20</w:t>
      </w:r>
      <w:r>
        <w:rPr>
          <w:rFonts w:hint="eastAsia"/>
          <w:lang w:val="en-US" w:eastAsia="zh-CN"/>
        </w:rPr>
        <w:t>20</w:t>
      </w:r>
      <w:r>
        <w:rPr>
          <w:rFonts w:hint="eastAsia"/>
        </w:rPr>
        <w:t>年招生人数</w:t>
      </w:r>
      <w:r>
        <w:rPr>
          <w:rFonts w:hint="eastAsia"/>
          <w:color w:val="auto"/>
          <w:highlight w:val="none"/>
          <w:lang w:val="en-US" w:eastAsia="zh-CN"/>
        </w:rPr>
        <w:t>949</w:t>
      </w:r>
      <w:r>
        <w:rPr>
          <w:rFonts w:hint="eastAsia"/>
          <w:color w:val="auto"/>
        </w:rPr>
        <w:t>人，毕业生人数</w:t>
      </w:r>
      <w:r>
        <w:rPr>
          <w:rFonts w:hint="eastAsia"/>
          <w:color w:val="auto"/>
          <w:highlight w:val="none"/>
          <w:lang w:val="en-US" w:eastAsia="zh-CN"/>
        </w:rPr>
        <w:t>1843</w:t>
      </w:r>
      <w:r>
        <w:rPr>
          <w:rFonts w:hint="eastAsia"/>
          <w:color w:val="auto"/>
        </w:rPr>
        <w:t>人；在校生人数</w:t>
      </w:r>
      <w:r>
        <w:rPr>
          <w:rFonts w:hint="eastAsia"/>
          <w:color w:val="auto"/>
          <w:highlight w:val="none"/>
          <w:lang w:val="en-US" w:eastAsia="zh-CN"/>
        </w:rPr>
        <w:t>5439</w:t>
      </w:r>
      <w:r>
        <w:rPr>
          <w:rFonts w:hint="eastAsia"/>
          <w:color w:val="auto"/>
        </w:rPr>
        <w:t>人，比去年</w:t>
      </w:r>
      <w:r>
        <w:rPr>
          <w:rFonts w:hint="eastAsia"/>
          <w:color w:val="auto"/>
          <w:lang w:eastAsia="zh-CN"/>
        </w:rPr>
        <w:t>减少</w:t>
      </w:r>
      <w:r>
        <w:rPr>
          <w:rFonts w:hint="eastAsia"/>
          <w:color w:val="auto"/>
          <w:lang w:val="en-US" w:eastAsia="zh-CN"/>
        </w:rPr>
        <w:t>991</w:t>
      </w:r>
      <w:r>
        <w:rPr>
          <w:rFonts w:hint="eastAsia"/>
          <w:color w:val="auto"/>
        </w:rPr>
        <w:t>人，均为全日制学生。详见表1。</w:t>
      </w:r>
    </w:p>
    <w:p>
      <w:pPr>
        <w:spacing w:line="360" w:lineRule="auto"/>
        <w:ind w:firstLine="560"/>
        <w:jc w:val="center"/>
        <w:rPr>
          <w:rFonts w:ascii="仿宋_GB2312" w:eastAsia="仿宋_GB2312" w:hAnsiTheme="majorEastAsia"/>
          <w:color w:val="auto"/>
        </w:rPr>
      </w:pPr>
      <w:r>
        <w:rPr>
          <w:rFonts w:hint="eastAsia" w:ascii="仿宋_GB2312" w:eastAsia="仿宋_GB2312" w:hAnsiTheme="majorEastAsia"/>
          <w:color w:val="auto"/>
        </w:rPr>
        <w:t>表1.郑州新华中等专业学校201</w:t>
      </w:r>
      <w:r>
        <w:rPr>
          <w:rFonts w:hint="eastAsia" w:ascii="仿宋_GB2312" w:eastAsia="仿宋_GB2312" w:hAnsiTheme="majorEastAsia"/>
          <w:color w:val="auto"/>
          <w:lang w:val="en-US" w:eastAsia="zh-CN"/>
        </w:rPr>
        <w:t>9</w:t>
      </w:r>
      <w:r>
        <w:rPr>
          <w:rFonts w:hint="eastAsia" w:ascii="仿宋_GB2312" w:eastAsia="仿宋_GB2312" w:hAnsiTheme="majorEastAsia"/>
          <w:color w:val="auto"/>
        </w:rPr>
        <w:t>-20</w:t>
      </w:r>
      <w:r>
        <w:rPr>
          <w:rFonts w:hint="eastAsia" w:ascii="仿宋_GB2312" w:eastAsia="仿宋_GB2312" w:hAnsiTheme="majorEastAsia"/>
          <w:color w:val="auto"/>
          <w:lang w:val="en-US" w:eastAsia="zh-CN"/>
        </w:rPr>
        <w:t>20</w:t>
      </w:r>
      <w:r>
        <w:rPr>
          <w:rFonts w:hint="eastAsia" w:ascii="仿宋_GB2312" w:eastAsia="仿宋_GB2312" w:hAnsiTheme="majorEastAsia"/>
          <w:color w:val="auto"/>
        </w:rPr>
        <w:t>在校生情况对比表</w:t>
      </w:r>
    </w:p>
    <w:tbl>
      <w:tblPr>
        <w:tblStyle w:val="1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3544"/>
        <w:gridCol w:w="4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pPr>
              <w:spacing w:line="360" w:lineRule="auto"/>
              <w:ind w:firstLine="0" w:firstLineChars="0"/>
              <w:jc w:val="center"/>
              <w:rPr>
                <w:rFonts w:ascii="仿宋_GB2312" w:eastAsia="仿宋_GB2312" w:hAnsiTheme="majorEastAsia"/>
                <w:color w:val="auto"/>
                <w:sz w:val="24"/>
              </w:rPr>
            </w:pPr>
          </w:p>
        </w:tc>
        <w:tc>
          <w:tcPr>
            <w:tcW w:w="3544" w:type="dxa"/>
          </w:tcPr>
          <w:p>
            <w:pPr>
              <w:spacing w:line="360" w:lineRule="auto"/>
              <w:ind w:firstLine="0" w:firstLineChars="0"/>
              <w:jc w:val="center"/>
              <w:rPr>
                <w:rFonts w:ascii="仿宋_GB2312" w:eastAsia="仿宋_GB2312" w:hAnsiTheme="majorEastAsia"/>
                <w:color w:val="auto"/>
                <w:sz w:val="24"/>
              </w:rPr>
            </w:pPr>
            <w:r>
              <w:rPr>
                <w:rFonts w:hint="eastAsia" w:ascii="仿宋_GB2312" w:eastAsia="仿宋_GB2312" w:hAnsiTheme="majorEastAsia"/>
                <w:color w:val="auto"/>
                <w:sz w:val="24"/>
              </w:rPr>
              <w:t>201</w:t>
            </w:r>
            <w:r>
              <w:rPr>
                <w:rFonts w:hint="eastAsia" w:ascii="仿宋_GB2312" w:eastAsia="仿宋_GB2312" w:hAnsiTheme="majorEastAsia"/>
                <w:color w:val="auto"/>
                <w:sz w:val="24"/>
                <w:lang w:val="en-US" w:eastAsia="zh-CN"/>
              </w:rPr>
              <w:t>9</w:t>
            </w:r>
            <w:r>
              <w:rPr>
                <w:rFonts w:hint="eastAsia" w:ascii="仿宋_GB2312" w:eastAsia="仿宋_GB2312" w:hAnsiTheme="majorEastAsia"/>
                <w:color w:val="auto"/>
                <w:sz w:val="24"/>
              </w:rPr>
              <w:t>年</w:t>
            </w:r>
          </w:p>
        </w:tc>
        <w:tc>
          <w:tcPr>
            <w:tcW w:w="4042" w:type="dxa"/>
          </w:tcPr>
          <w:p>
            <w:pPr>
              <w:spacing w:line="360" w:lineRule="auto"/>
              <w:ind w:firstLine="0" w:firstLineChars="0"/>
              <w:jc w:val="center"/>
              <w:rPr>
                <w:rFonts w:ascii="仿宋_GB2312" w:eastAsia="仿宋_GB2312" w:hAnsiTheme="majorEastAsia"/>
                <w:color w:val="auto"/>
                <w:sz w:val="24"/>
              </w:rPr>
            </w:pPr>
            <w:r>
              <w:rPr>
                <w:rFonts w:hint="eastAsia" w:ascii="仿宋_GB2312" w:eastAsia="仿宋_GB2312" w:hAnsiTheme="majorEastAsia"/>
                <w:color w:val="auto"/>
                <w:sz w:val="24"/>
              </w:rPr>
              <w:t>20</w:t>
            </w:r>
            <w:r>
              <w:rPr>
                <w:rFonts w:hint="eastAsia" w:ascii="仿宋_GB2312" w:eastAsia="仿宋_GB2312" w:hAnsiTheme="majorEastAsia"/>
                <w:color w:val="auto"/>
                <w:sz w:val="24"/>
                <w:lang w:val="en-US" w:eastAsia="zh-CN"/>
              </w:rPr>
              <w:t>20</w:t>
            </w:r>
            <w:r>
              <w:rPr>
                <w:rFonts w:hint="eastAsia" w:ascii="仿宋_GB2312" w:eastAsia="仿宋_GB2312" w:hAnsiTheme="majorEastAsia"/>
                <w:color w:val="auto"/>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pPr>
              <w:spacing w:line="360" w:lineRule="auto"/>
              <w:ind w:firstLine="0" w:firstLineChars="0"/>
              <w:jc w:val="center"/>
              <w:rPr>
                <w:rFonts w:ascii="仿宋_GB2312" w:eastAsia="仿宋_GB2312" w:hAnsiTheme="majorEastAsia"/>
                <w:color w:val="auto"/>
                <w:sz w:val="24"/>
              </w:rPr>
            </w:pPr>
            <w:r>
              <w:rPr>
                <w:rFonts w:hint="eastAsia" w:ascii="仿宋_GB2312" w:eastAsia="仿宋_GB2312" w:hAnsiTheme="majorEastAsia"/>
                <w:color w:val="auto"/>
                <w:sz w:val="24"/>
              </w:rPr>
              <w:t>招生人数</w:t>
            </w:r>
          </w:p>
        </w:tc>
        <w:tc>
          <w:tcPr>
            <w:tcW w:w="3544" w:type="dxa"/>
            <w:vAlign w:val="top"/>
          </w:tcPr>
          <w:p>
            <w:pPr>
              <w:spacing w:line="360" w:lineRule="auto"/>
              <w:ind w:firstLine="0" w:firstLineChars="0"/>
              <w:jc w:val="center"/>
              <w:rPr>
                <w:rFonts w:hint="default" w:ascii="仿宋_GB2312" w:eastAsia="仿宋_GB2312" w:hAnsiTheme="majorEastAsia"/>
                <w:color w:val="auto"/>
                <w:sz w:val="24"/>
                <w:lang w:val="en-US" w:eastAsia="zh-CN"/>
              </w:rPr>
            </w:pPr>
            <w:r>
              <w:rPr>
                <w:rFonts w:hint="eastAsia" w:ascii="仿宋_GB2312" w:eastAsia="仿宋_GB2312" w:hAnsiTheme="majorEastAsia"/>
                <w:color w:val="auto"/>
                <w:sz w:val="24"/>
                <w:lang w:val="en-US" w:eastAsia="zh-CN"/>
              </w:rPr>
              <w:t>3413</w:t>
            </w:r>
          </w:p>
        </w:tc>
        <w:tc>
          <w:tcPr>
            <w:tcW w:w="4042" w:type="dxa"/>
          </w:tcPr>
          <w:p>
            <w:pPr>
              <w:spacing w:line="360" w:lineRule="auto"/>
              <w:ind w:firstLine="0" w:firstLineChars="0"/>
              <w:jc w:val="center"/>
              <w:rPr>
                <w:rFonts w:hint="default" w:ascii="仿宋_GB2312" w:eastAsia="仿宋_GB2312" w:hAnsiTheme="majorEastAsia"/>
                <w:color w:val="auto"/>
                <w:sz w:val="24"/>
                <w:lang w:val="en-US" w:eastAsia="zh-CN"/>
              </w:rPr>
            </w:pPr>
            <w:r>
              <w:rPr>
                <w:rFonts w:hint="eastAsia" w:ascii="仿宋_GB2312" w:eastAsia="仿宋_GB2312" w:hAnsiTheme="majorEastAsia"/>
                <w:color w:val="auto"/>
                <w:sz w:val="24"/>
                <w:lang w:val="en-US" w:eastAsia="zh-CN"/>
              </w:rPr>
              <w:t>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pPr>
              <w:spacing w:line="360" w:lineRule="auto"/>
              <w:ind w:firstLine="0" w:firstLineChars="0"/>
              <w:jc w:val="center"/>
              <w:rPr>
                <w:rFonts w:ascii="仿宋_GB2312" w:eastAsia="仿宋_GB2312" w:hAnsiTheme="majorEastAsia"/>
                <w:color w:val="auto"/>
                <w:sz w:val="24"/>
              </w:rPr>
            </w:pPr>
            <w:r>
              <w:rPr>
                <w:rFonts w:hint="eastAsia" w:ascii="仿宋_GB2312" w:eastAsia="仿宋_GB2312" w:hAnsiTheme="majorEastAsia"/>
                <w:color w:val="auto"/>
                <w:sz w:val="24"/>
              </w:rPr>
              <w:t>在校生人数</w:t>
            </w:r>
          </w:p>
        </w:tc>
        <w:tc>
          <w:tcPr>
            <w:tcW w:w="3544" w:type="dxa"/>
            <w:vAlign w:val="top"/>
          </w:tcPr>
          <w:p>
            <w:pPr>
              <w:spacing w:line="360" w:lineRule="auto"/>
              <w:ind w:firstLine="0" w:firstLineChars="0"/>
              <w:jc w:val="center"/>
              <w:rPr>
                <w:rFonts w:hint="default" w:ascii="仿宋_GB2312" w:eastAsia="仿宋_GB2312" w:hAnsiTheme="majorEastAsia"/>
                <w:color w:val="auto"/>
                <w:sz w:val="24"/>
                <w:lang w:val="en-US" w:eastAsia="zh-CN"/>
              </w:rPr>
            </w:pPr>
            <w:r>
              <w:rPr>
                <w:rFonts w:hint="eastAsia" w:ascii="仿宋_GB2312" w:eastAsia="仿宋_GB2312" w:hAnsiTheme="majorEastAsia"/>
                <w:color w:val="auto"/>
                <w:sz w:val="24"/>
                <w:lang w:val="en-US" w:eastAsia="zh-CN"/>
              </w:rPr>
              <w:t>6430</w:t>
            </w:r>
          </w:p>
        </w:tc>
        <w:tc>
          <w:tcPr>
            <w:tcW w:w="4042" w:type="dxa"/>
          </w:tcPr>
          <w:p>
            <w:pPr>
              <w:spacing w:line="360" w:lineRule="auto"/>
              <w:ind w:firstLine="0" w:firstLineChars="0"/>
              <w:jc w:val="center"/>
              <w:rPr>
                <w:rFonts w:hint="default" w:ascii="仿宋_GB2312" w:eastAsia="仿宋_GB2312" w:hAnsiTheme="majorEastAsia"/>
                <w:color w:val="auto"/>
                <w:sz w:val="24"/>
                <w:lang w:val="en-US" w:eastAsia="zh-CN"/>
              </w:rPr>
            </w:pPr>
            <w:r>
              <w:rPr>
                <w:rFonts w:hint="eastAsia" w:ascii="仿宋_GB2312" w:eastAsia="仿宋_GB2312" w:hAnsiTheme="majorEastAsia"/>
                <w:color w:val="auto"/>
                <w:sz w:val="24"/>
                <w:lang w:val="en-US" w:eastAsia="zh-CN"/>
              </w:rPr>
              <w:t>5439</w:t>
            </w:r>
          </w:p>
        </w:tc>
      </w:tr>
    </w:tbl>
    <w:p>
      <w:pPr>
        <w:pStyle w:val="3"/>
        <w:spacing w:line="360" w:lineRule="auto"/>
        <w:ind w:firstLine="422"/>
      </w:pPr>
      <w:bookmarkStart w:id="10" w:name="_Toc11362"/>
      <w:bookmarkStart w:id="11" w:name="_Toc503883821"/>
      <w:r>
        <w:rPr>
          <w:rFonts w:hint="eastAsia"/>
        </w:rPr>
        <w:t>（三）教师队伍</w:t>
      </w:r>
      <w:bookmarkEnd w:id="10"/>
      <w:bookmarkEnd w:id="11"/>
    </w:p>
    <w:p>
      <w:pPr>
        <w:spacing w:line="360" w:lineRule="auto"/>
        <w:ind w:firstLine="560"/>
      </w:pPr>
      <w:r>
        <w:rPr>
          <w:rFonts w:hint="eastAsia"/>
        </w:rPr>
        <w:t>20</w:t>
      </w:r>
      <w:r>
        <w:rPr>
          <w:rFonts w:hint="eastAsia"/>
          <w:lang w:val="en-US" w:eastAsia="zh-CN"/>
        </w:rPr>
        <w:t>20</w:t>
      </w:r>
      <w:r>
        <w:rPr>
          <w:rFonts w:hint="eastAsia"/>
        </w:rPr>
        <w:t>年，学校教师总数为</w:t>
      </w:r>
      <w:r>
        <w:rPr>
          <w:rFonts w:hint="eastAsia"/>
          <w:color w:val="auto"/>
          <w:highlight w:val="none"/>
          <w:lang w:val="en-US" w:eastAsia="zh-CN"/>
        </w:rPr>
        <w:t>138</w:t>
      </w:r>
      <w:r>
        <w:rPr>
          <w:rFonts w:hint="eastAsia"/>
        </w:rPr>
        <w:t>人，专任教师</w:t>
      </w:r>
      <w:r>
        <w:rPr>
          <w:rFonts w:hint="eastAsia"/>
          <w:lang w:val="en-US" w:eastAsia="zh-CN"/>
        </w:rPr>
        <w:t>126人</w:t>
      </w:r>
      <w:r>
        <w:rPr>
          <w:rFonts w:hint="eastAsia"/>
        </w:rPr>
        <w:t>，专任教师本科以上学历比例为</w:t>
      </w:r>
      <w:r>
        <w:rPr>
          <w:rFonts w:hint="eastAsia"/>
          <w:color w:val="auto"/>
          <w:highlight w:val="none"/>
          <w:lang w:val="en-US" w:eastAsia="zh-CN"/>
        </w:rPr>
        <w:t>86.51</w:t>
      </w:r>
      <w:r>
        <w:rPr>
          <w:rFonts w:hint="eastAsia"/>
          <w:color w:val="auto"/>
          <w:highlight w:val="none"/>
        </w:rPr>
        <w:t>%</w:t>
      </w:r>
      <w:r>
        <w:rPr>
          <w:rFonts w:hint="eastAsia"/>
        </w:rPr>
        <w:t>。详见表2。</w:t>
      </w:r>
      <w:bookmarkStart w:id="64" w:name="_GoBack"/>
      <w:bookmarkEnd w:id="64"/>
    </w:p>
    <w:p>
      <w:pPr>
        <w:spacing w:line="360" w:lineRule="auto"/>
        <w:ind w:firstLine="560"/>
        <w:jc w:val="center"/>
        <w:rPr>
          <w:rFonts w:hint="eastAsia" w:ascii="仿宋_GB2312" w:eastAsia="仿宋_GB2312"/>
        </w:rPr>
      </w:pPr>
    </w:p>
    <w:p>
      <w:pPr>
        <w:spacing w:line="360" w:lineRule="auto"/>
        <w:ind w:firstLine="560"/>
        <w:jc w:val="center"/>
        <w:rPr>
          <w:rFonts w:ascii="仿宋_GB2312" w:eastAsia="仿宋_GB2312"/>
        </w:rPr>
      </w:pPr>
      <w:r>
        <w:rPr>
          <w:rFonts w:hint="eastAsia" w:ascii="仿宋_GB2312" w:eastAsia="仿宋_GB2312"/>
        </w:rPr>
        <w:t>表2.郑州新华中等专业学校201</w:t>
      </w:r>
      <w:r>
        <w:rPr>
          <w:rFonts w:hint="eastAsia" w:ascii="仿宋_GB2312" w:eastAsia="仿宋_GB2312"/>
          <w:lang w:val="en-US" w:eastAsia="zh-CN"/>
        </w:rPr>
        <w:t>9</w:t>
      </w:r>
      <w:r>
        <w:rPr>
          <w:rFonts w:hint="eastAsia" w:ascii="仿宋_GB2312" w:eastAsia="仿宋_GB2312"/>
        </w:rPr>
        <w:t>-20</w:t>
      </w:r>
      <w:r>
        <w:rPr>
          <w:rFonts w:hint="eastAsia" w:ascii="仿宋_GB2312" w:eastAsia="仿宋_GB2312"/>
          <w:lang w:val="en-US" w:eastAsia="zh-CN"/>
        </w:rPr>
        <w:t>20</w:t>
      </w:r>
      <w:r>
        <w:rPr>
          <w:rFonts w:hint="eastAsia" w:ascii="仿宋_GB2312" w:eastAsia="仿宋_GB2312"/>
        </w:rPr>
        <w:t>教师情况对比表</w:t>
      </w:r>
    </w:p>
    <w:tbl>
      <w:tblPr>
        <w:tblStyle w:val="1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3544"/>
        <w:gridCol w:w="4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pPr>
              <w:spacing w:line="360" w:lineRule="auto"/>
              <w:ind w:firstLine="0" w:firstLineChars="0"/>
              <w:jc w:val="center"/>
              <w:rPr>
                <w:rFonts w:ascii="仿宋_GB2312" w:eastAsia="仿宋_GB2312" w:hAnsiTheme="majorEastAsia"/>
                <w:sz w:val="24"/>
              </w:rPr>
            </w:pPr>
          </w:p>
        </w:tc>
        <w:tc>
          <w:tcPr>
            <w:tcW w:w="3544" w:type="dxa"/>
            <w:vAlign w:val="top"/>
          </w:tcPr>
          <w:p>
            <w:pPr>
              <w:spacing w:line="360" w:lineRule="auto"/>
              <w:ind w:firstLine="0" w:firstLineChars="0"/>
              <w:jc w:val="center"/>
              <w:rPr>
                <w:rFonts w:ascii="仿宋_GB2312" w:eastAsia="仿宋_GB2312" w:hAnsiTheme="majorEastAsia"/>
                <w:sz w:val="24"/>
              </w:rPr>
            </w:pPr>
            <w:r>
              <w:rPr>
                <w:rFonts w:hint="eastAsia" w:ascii="仿宋_GB2312" w:eastAsia="仿宋_GB2312" w:hAnsiTheme="majorEastAsia"/>
                <w:sz w:val="24"/>
              </w:rPr>
              <w:t>201</w:t>
            </w:r>
            <w:r>
              <w:rPr>
                <w:rFonts w:hint="eastAsia" w:ascii="仿宋_GB2312" w:eastAsia="仿宋_GB2312" w:hAnsiTheme="majorEastAsia"/>
                <w:sz w:val="24"/>
                <w:lang w:val="en-US" w:eastAsia="zh-CN"/>
              </w:rPr>
              <w:t>9</w:t>
            </w:r>
            <w:r>
              <w:rPr>
                <w:rFonts w:hint="eastAsia" w:ascii="仿宋_GB2312" w:eastAsia="仿宋_GB2312" w:hAnsiTheme="majorEastAsia"/>
                <w:sz w:val="24"/>
              </w:rPr>
              <w:t>年</w:t>
            </w:r>
          </w:p>
        </w:tc>
        <w:tc>
          <w:tcPr>
            <w:tcW w:w="4042" w:type="dxa"/>
          </w:tcPr>
          <w:p>
            <w:pPr>
              <w:spacing w:line="360" w:lineRule="auto"/>
              <w:ind w:firstLine="0" w:firstLineChars="0"/>
              <w:jc w:val="center"/>
              <w:rPr>
                <w:rFonts w:hint="default" w:ascii="仿宋_GB2312" w:eastAsia="仿宋_GB2312" w:hAnsiTheme="majorEastAsia"/>
                <w:sz w:val="24"/>
                <w:lang w:val="en-US" w:eastAsia="zh-CN"/>
              </w:rPr>
            </w:pPr>
            <w:r>
              <w:rPr>
                <w:rFonts w:hint="eastAsia" w:ascii="仿宋_GB2312" w:eastAsia="仿宋_GB2312" w:hAnsiTheme="majorEastAsia"/>
                <w:sz w:val="24"/>
                <w:lang w:val="en-US" w:eastAsia="zh-CN"/>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pPr>
              <w:spacing w:line="360" w:lineRule="auto"/>
              <w:ind w:firstLine="0" w:firstLineChars="0"/>
              <w:jc w:val="center"/>
              <w:rPr>
                <w:rFonts w:ascii="仿宋_GB2312" w:eastAsia="仿宋_GB2312" w:hAnsiTheme="majorEastAsia"/>
                <w:sz w:val="24"/>
              </w:rPr>
            </w:pPr>
            <w:r>
              <w:rPr>
                <w:rFonts w:hint="eastAsia" w:ascii="仿宋_GB2312" w:eastAsia="仿宋_GB2312" w:hAnsiTheme="majorEastAsia"/>
                <w:sz w:val="24"/>
              </w:rPr>
              <w:t>教师数量</w:t>
            </w:r>
          </w:p>
        </w:tc>
        <w:tc>
          <w:tcPr>
            <w:tcW w:w="3544" w:type="dxa"/>
            <w:vAlign w:val="top"/>
          </w:tcPr>
          <w:p>
            <w:pPr>
              <w:spacing w:line="360" w:lineRule="auto"/>
              <w:ind w:firstLine="0" w:firstLineChars="0"/>
              <w:jc w:val="center"/>
              <w:rPr>
                <w:rFonts w:hint="default" w:ascii="仿宋_GB2312" w:eastAsia="仿宋_GB2312" w:hAnsiTheme="majorEastAsia"/>
                <w:sz w:val="24"/>
                <w:lang w:val="en-US" w:eastAsia="zh-CN"/>
              </w:rPr>
            </w:pPr>
            <w:r>
              <w:rPr>
                <w:rFonts w:hint="eastAsia" w:ascii="仿宋_GB2312" w:eastAsia="仿宋_GB2312" w:hAnsiTheme="majorEastAsia"/>
                <w:color w:val="auto"/>
                <w:sz w:val="24"/>
                <w:lang w:val="en-US" w:eastAsia="zh-CN"/>
              </w:rPr>
              <w:t>97</w:t>
            </w:r>
          </w:p>
        </w:tc>
        <w:tc>
          <w:tcPr>
            <w:tcW w:w="4042" w:type="dxa"/>
          </w:tcPr>
          <w:p>
            <w:pPr>
              <w:spacing w:line="360" w:lineRule="auto"/>
              <w:ind w:firstLine="0" w:firstLineChars="0"/>
              <w:jc w:val="center"/>
              <w:rPr>
                <w:rFonts w:hint="default" w:ascii="仿宋_GB2312" w:eastAsia="仿宋_GB2312" w:hAnsiTheme="majorEastAsia"/>
                <w:color w:val="auto"/>
                <w:sz w:val="24"/>
                <w:lang w:val="en-US" w:eastAsia="zh-CN"/>
              </w:rPr>
            </w:pPr>
            <w:r>
              <w:rPr>
                <w:rFonts w:hint="eastAsia" w:ascii="仿宋_GB2312" w:eastAsia="仿宋_GB2312" w:hAnsiTheme="majorEastAsia"/>
                <w:color w:val="auto"/>
                <w:sz w:val="24"/>
                <w:lang w:val="en-US" w:eastAsia="zh-CN"/>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pPr>
              <w:spacing w:line="360" w:lineRule="auto"/>
              <w:ind w:firstLine="0" w:firstLineChars="0"/>
              <w:jc w:val="center"/>
              <w:rPr>
                <w:rFonts w:ascii="仿宋_GB2312" w:eastAsia="仿宋_GB2312" w:hAnsiTheme="majorEastAsia"/>
                <w:sz w:val="24"/>
              </w:rPr>
            </w:pPr>
            <w:r>
              <w:rPr>
                <w:rFonts w:hint="eastAsia" w:ascii="仿宋_GB2312" w:eastAsia="仿宋_GB2312" w:hAnsiTheme="majorEastAsia"/>
                <w:sz w:val="24"/>
              </w:rPr>
              <w:t>本科学历</w:t>
            </w:r>
          </w:p>
        </w:tc>
        <w:tc>
          <w:tcPr>
            <w:tcW w:w="3544" w:type="dxa"/>
            <w:vAlign w:val="top"/>
          </w:tcPr>
          <w:p>
            <w:pPr>
              <w:spacing w:line="360" w:lineRule="auto"/>
              <w:ind w:firstLine="0" w:firstLineChars="0"/>
              <w:jc w:val="center"/>
              <w:rPr>
                <w:rFonts w:hint="default" w:ascii="仿宋_GB2312" w:eastAsia="仿宋_GB2312" w:hAnsiTheme="majorEastAsia"/>
                <w:sz w:val="24"/>
                <w:lang w:val="en-US" w:eastAsia="zh-CN"/>
              </w:rPr>
            </w:pPr>
            <w:r>
              <w:rPr>
                <w:rFonts w:hint="eastAsia" w:ascii="仿宋_GB2312" w:eastAsia="仿宋_GB2312" w:hAnsiTheme="majorEastAsia"/>
                <w:color w:val="auto"/>
                <w:sz w:val="24"/>
                <w:lang w:val="en-US" w:eastAsia="zh-CN"/>
              </w:rPr>
              <w:t>80</w:t>
            </w:r>
          </w:p>
        </w:tc>
        <w:tc>
          <w:tcPr>
            <w:tcW w:w="4042" w:type="dxa"/>
          </w:tcPr>
          <w:p>
            <w:pPr>
              <w:spacing w:line="360" w:lineRule="auto"/>
              <w:ind w:firstLine="0" w:firstLineChars="0"/>
              <w:jc w:val="center"/>
              <w:rPr>
                <w:rFonts w:hint="default" w:ascii="仿宋_GB2312" w:eastAsia="仿宋_GB2312" w:hAnsiTheme="majorEastAsia"/>
                <w:color w:val="auto"/>
                <w:sz w:val="24"/>
                <w:lang w:val="en-US" w:eastAsia="zh-CN"/>
              </w:rPr>
            </w:pPr>
            <w:r>
              <w:rPr>
                <w:rFonts w:hint="eastAsia" w:ascii="仿宋_GB2312" w:eastAsia="仿宋_GB2312" w:hAnsiTheme="majorEastAsia"/>
                <w:color w:val="auto"/>
                <w:sz w:val="24"/>
                <w:lang w:val="en-US" w:eastAsia="zh-CN"/>
              </w:rPr>
              <w:t>109</w:t>
            </w:r>
          </w:p>
        </w:tc>
      </w:tr>
    </w:tbl>
    <w:p>
      <w:pPr>
        <w:pStyle w:val="3"/>
        <w:spacing w:line="360" w:lineRule="auto"/>
        <w:ind w:firstLine="422"/>
      </w:pPr>
      <w:bookmarkStart w:id="12" w:name="_Toc32151"/>
      <w:bookmarkStart w:id="13" w:name="_Toc503883822"/>
      <w:r>
        <w:rPr>
          <w:rFonts w:hint="eastAsia"/>
        </w:rPr>
        <w:t>（四）设施设备</w:t>
      </w:r>
      <w:bookmarkEnd w:id="12"/>
      <w:bookmarkEnd w:id="13"/>
    </w:p>
    <w:p>
      <w:pPr>
        <w:spacing w:line="360" w:lineRule="auto"/>
        <w:ind w:firstLine="560"/>
      </w:pPr>
      <w:r>
        <w:rPr>
          <w:rFonts w:hint="eastAsia"/>
        </w:rPr>
        <w:t>20</w:t>
      </w:r>
      <w:r>
        <w:rPr>
          <w:rFonts w:hint="eastAsia"/>
          <w:lang w:val="en-US" w:eastAsia="zh-CN"/>
        </w:rPr>
        <w:t>20</w:t>
      </w:r>
      <w:r>
        <w:rPr>
          <w:rFonts w:hint="eastAsia"/>
        </w:rPr>
        <w:t>年，学校教学仪器设备总值</w:t>
      </w:r>
      <w:r>
        <w:rPr>
          <w:rFonts w:hint="eastAsia"/>
          <w:color w:val="auto"/>
          <w:highlight w:val="none"/>
          <w:lang w:val="en-US" w:eastAsia="zh-CN"/>
        </w:rPr>
        <w:t>150</w:t>
      </w:r>
      <w:r>
        <w:rPr>
          <w:rFonts w:hint="eastAsia"/>
        </w:rPr>
        <w:t>万元，实训实习工位</w:t>
      </w:r>
      <w:r>
        <w:rPr>
          <w:rFonts w:hint="eastAsia"/>
          <w:color w:val="auto"/>
          <w:highlight w:val="none"/>
          <w:lang w:val="en-US" w:eastAsia="zh-CN"/>
        </w:rPr>
        <w:t>4000</w:t>
      </w:r>
      <w:r>
        <w:rPr>
          <w:rFonts w:hint="eastAsia"/>
        </w:rPr>
        <w:t>个，纸质图书</w:t>
      </w:r>
      <w:r>
        <w:rPr>
          <w:rFonts w:hint="eastAsia"/>
          <w:color w:val="auto"/>
          <w:highlight w:val="none"/>
          <w:lang w:val="en-US" w:eastAsia="zh-CN"/>
        </w:rPr>
        <w:t>12</w:t>
      </w:r>
      <w:r>
        <w:rPr>
          <w:rFonts w:hint="eastAsia"/>
        </w:rPr>
        <w:t>万册。详见表3。</w:t>
      </w:r>
    </w:p>
    <w:p>
      <w:pPr>
        <w:spacing w:line="360" w:lineRule="auto"/>
        <w:ind w:firstLine="0" w:firstLineChars="0"/>
        <w:jc w:val="center"/>
        <w:rPr>
          <w:rFonts w:ascii="仿宋_GB2312" w:eastAsia="仿宋_GB2312"/>
        </w:rPr>
      </w:pPr>
      <w:r>
        <w:rPr>
          <w:rFonts w:hint="eastAsia" w:ascii="仿宋_GB2312" w:eastAsia="仿宋_GB2312"/>
        </w:rPr>
        <w:t>表3.郑州</w:t>
      </w:r>
      <w:r>
        <w:rPr>
          <w:rFonts w:hint="eastAsia" w:ascii="仿宋_GB2312" w:eastAsia="仿宋_GB2312" w:hAnsiTheme="majorEastAsia"/>
        </w:rPr>
        <w:t>郑州新华中等专业学校201</w:t>
      </w:r>
      <w:r>
        <w:rPr>
          <w:rFonts w:hint="eastAsia" w:ascii="仿宋_GB2312" w:eastAsia="仿宋_GB2312" w:hAnsiTheme="majorEastAsia"/>
          <w:lang w:val="en-US" w:eastAsia="zh-CN"/>
        </w:rPr>
        <w:t>9</w:t>
      </w:r>
      <w:r>
        <w:rPr>
          <w:rFonts w:hint="eastAsia" w:ascii="仿宋_GB2312" w:eastAsia="仿宋_GB2312" w:hAnsiTheme="majorEastAsia"/>
        </w:rPr>
        <w:t>-20</w:t>
      </w:r>
      <w:r>
        <w:rPr>
          <w:rFonts w:hint="eastAsia" w:ascii="仿宋_GB2312" w:eastAsia="仿宋_GB2312" w:hAnsiTheme="majorEastAsia"/>
          <w:lang w:val="en-US" w:eastAsia="zh-CN"/>
        </w:rPr>
        <w:t>20</w:t>
      </w:r>
      <w:r>
        <w:rPr>
          <w:rFonts w:hint="eastAsia" w:ascii="仿宋_GB2312" w:eastAsia="仿宋_GB2312" w:hAnsiTheme="majorEastAsia"/>
        </w:rPr>
        <w:t>设施设备情况对比表</w:t>
      </w:r>
    </w:p>
    <w:tbl>
      <w:tblPr>
        <w:tblStyle w:val="19"/>
        <w:tblW w:w="9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118"/>
        <w:gridCol w:w="2835"/>
        <w:gridCol w:w="2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101" w:type="dxa"/>
          </w:tcPr>
          <w:p>
            <w:pPr>
              <w:spacing w:line="360" w:lineRule="auto"/>
              <w:ind w:firstLine="0" w:firstLineChars="0"/>
              <w:rPr>
                <w:rFonts w:ascii="仿宋_GB2312" w:eastAsia="仿宋_GB2312"/>
                <w:sz w:val="24"/>
              </w:rPr>
            </w:pPr>
          </w:p>
        </w:tc>
        <w:tc>
          <w:tcPr>
            <w:tcW w:w="3118" w:type="dxa"/>
            <w:vAlign w:val="center"/>
          </w:tcPr>
          <w:p>
            <w:pPr>
              <w:spacing w:line="360" w:lineRule="auto"/>
              <w:ind w:firstLine="0" w:firstLineChars="0"/>
              <w:jc w:val="center"/>
              <w:rPr>
                <w:rFonts w:ascii="仿宋_GB2312" w:eastAsia="仿宋_GB2312"/>
                <w:sz w:val="24"/>
              </w:rPr>
            </w:pPr>
            <w:r>
              <w:rPr>
                <w:rFonts w:hint="eastAsia" w:ascii="仿宋_GB2312" w:eastAsia="仿宋_GB2312"/>
                <w:sz w:val="24"/>
              </w:rPr>
              <w:t>教学仪器设备（单位：万元）</w:t>
            </w:r>
          </w:p>
        </w:tc>
        <w:tc>
          <w:tcPr>
            <w:tcW w:w="2835" w:type="dxa"/>
            <w:vAlign w:val="center"/>
          </w:tcPr>
          <w:p>
            <w:pPr>
              <w:spacing w:line="360" w:lineRule="auto"/>
              <w:ind w:firstLine="0" w:firstLineChars="0"/>
              <w:jc w:val="center"/>
              <w:rPr>
                <w:rFonts w:ascii="仿宋_GB2312" w:eastAsia="仿宋_GB2312"/>
                <w:sz w:val="24"/>
              </w:rPr>
            </w:pPr>
            <w:r>
              <w:rPr>
                <w:rFonts w:hint="eastAsia" w:ascii="仿宋_GB2312" w:eastAsia="仿宋_GB2312"/>
                <w:sz w:val="24"/>
              </w:rPr>
              <w:t>实习实训工位（单位：个）</w:t>
            </w:r>
          </w:p>
        </w:tc>
        <w:tc>
          <w:tcPr>
            <w:tcW w:w="2614" w:type="dxa"/>
            <w:vAlign w:val="center"/>
          </w:tcPr>
          <w:p>
            <w:pPr>
              <w:spacing w:line="360" w:lineRule="auto"/>
              <w:ind w:firstLine="0" w:firstLineChars="0"/>
              <w:jc w:val="center"/>
              <w:rPr>
                <w:rFonts w:ascii="仿宋_GB2312" w:eastAsia="仿宋_GB2312"/>
                <w:sz w:val="24"/>
              </w:rPr>
            </w:pPr>
            <w:r>
              <w:rPr>
                <w:rFonts w:hint="eastAsia" w:ascii="仿宋_GB2312" w:eastAsia="仿宋_GB2312"/>
                <w:sz w:val="24"/>
              </w:rPr>
              <w:t>纸质图书（单位：</w:t>
            </w:r>
            <w:r>
              <w:rPr>
                <w:rFonts w:hint="eastAsia" w:ascii="仿宋_GB2312" w:eastAsia="仿宋_GB2312"/>
                <w:sz w:val="24"/>
                <w:lang w:val="en-US" w:eastAsia="zh-CN"/>
              </w:rPr>
              <w:t>万</w:t>
            </w:r>
            <w:r>
              <w:rPr>
                <w:rFonts w:hint="eastAsia" w:ascii="仿宋_GB2312" w:eastAsia="仿宋_GB2312"/>
                <w:sz w:val="24"/>
              </w:rPr>
              <w:t>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01" w:type="dxa"/>
            <w:vAlign w:val="top"/>
          </w:tcPr>
          <w:p>
            <w:pPr>
              <w:spacing w:line="360" w:lineRule="auto"/>
              <w:ind w:firstLine="0" w:firstLineChars="0"/>
              <w:jc w:val="center"/>
              <w:rPr>
                <w:rFonts w:ascii="仿宋_GB2312" w:eastAsia="仿宋_GB2312"/>
                <w:sz w:val="24"/>
              </w:rPr>
            </w:pPr>
            <w:r>
              <w:rPr>
                <w:rFonts w:hint="eastAsia" w:ascii="仿宋_GB2312" w:eastAsia="仿宋_GB2312"/>
                <w:sz w:val="24"/>
              </w:rPr>
              <w:t>201</w:t>
            </w:r>
            <w:r>
              <w:rPr>
                <w:rFonts w:hint="eastAsia" w:ascii="仿宋_GB2312" w:eastAsia="仿宋_GB2312"/>
                <w:sz w:val="24"/>
                <w:lang w:val="en-US" w:eastAsia="zh-CN"/>
              </w:rPr>
              <w:t>9</w:t>
            </w:r>
            <w:r>
              <w:rPr>
                <w:rFonts w:hint="eastAsia" w:ascii="仿宋_GB2312" w:eastAsia="仿宋_GB2312"/>
                <w:sz w:val="24"/>
              </w:rPr>
              <w:t>年</w:t>
            </w:r>
          </w:p>
        </w:tc>
        <w:tc>
          <w:tcPr>
            <w:tcW w:w="3118" w:type="dxa"/>
            <w:vAlign w:val="center"/>
          </w:tcPr>
          <w:p>
            <w:pPr>
              <w:spacing w:line="360" w:lineRule="auto"/>
              <w:ind w:firstLine="0" w:firstLineChars="0"/>
              <w:jc w:val="center"/>
              <w:rPr>
                <w:rFonts w:hint="default" w:ascii="仿宋_GB2312" w:eastAsia="仿宋_GB2312" w:hAnsiTheme="majorEastAsia"/>
                <w:sz w:val="24"/>
                <w:lang w:val="en-US" w:eastAsia="zh-CN"/>
              </w:rPr>
            </w:pPr>
            <w:r>
              <w:rPr>
                <w:rFonts w:hint="eastAsia" w:ascii="仿宋_GB2312" w:eastAsia="仿宋_GB2312" w:hAnsiTheme="majorEastAsia"/>
                <w:color w:val="auto"/>
                <w:sz w:val="24"/>
                <w:lang w:val="en-US" w:eastAsia="zh-CN"/>
              </w:rPr>
              <w:t>100</w:t>
            </w:r>
          </w:p>
        </w:tc>
        <w:tc>
          <w:tcPr>
            <w:tcW w:w="2835" w:type="dxa"/>
            <w:vAlign w:val="center"/>
          </w:tcPr>
          <w:p>
            <w:pPr>
              <w:spacing w:line="312" w:lineRule="auto"/>
              <w:ind w:firstLine="480" w:firstLineChars="200"/>
              <w:jc w:val="center"/>
              <w:rPr>
                <w:rFonts w:hint="default" w:ascii="仿宋_GB2312" w:hAnsi="宋体" w:eastAsia="仿宋_GB2312" w:cs="宋体"/>
                <w:sz w:val="24"/>
                <w:szCs w:val="21"/>
                <w:lang w:val="en-US" w:eastAsia="zh-CN"/>
              </w:rPr>
            </w:pPr>
            <w:r>
              <w:rPr>
                <w:rFonts w:hint="eastAsia" w:ascii="仿宋_GB2312" w:hAnsi="宋体" w:eastAsia="仿宋_GB2312" w:cs="宋体"/>
                <w:color w:val="auto"/>
                <w:sz w:val="24"/>
                <w:szCs w:val="21"/>
                <w:lang w:val="en-US" w:eastAsia="zh-CN"/>
              </w:rPr>
              <w:t>3000</w:t>
            </w:r>
          </w:p>
        </w:tc>
        <w:tc>
          <w:tcPr>
            <w:tcW w:w="2614" w:type="dxa"/>
            <w:vAlign w:val="top"/>
          </w:tcPr>
          <w:p>
            <w:pPr>
              <w:spacing w:line="360" w:lineRule="auto"/>
              <w:ind w:firstLine="0" w:firstLineChars="0"/>
              <w:jc w:val="center"/>
              <w:rPr>
                <w:rFonts w:ascii="仿宋_GB2312" w:eastAsia="仿宋_GB2312" w:hAnsiTheme="majorEastAsia"/>
                <w:sz w:val="24"/>
              </w:rPr>
            </w:pPr>
            <w:r>
              <w:rPr>
                <w:rFonts w:hint="eastAsia" w:ascii="仿宋_GB2312" w:eastAsia="仿宋_GB2312" w:hAnsiTheme="majorEastAsia"/>
                <w:color w:val="auto"/>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01" w:type="dxa"/>
          </w:tcPr>
          <w:p>
            <w:pPr>
              <w:spacing w:line="360" w:lineRule="auto"/>
              <w:ind w:firstLine="0" w:firstLineChars="0"/>
              <w:jc w:val="center"/>
              <w:rPr>
                <w:rFonts w:ascii="仿宋_GB2312" w:eastAsia="仿宋_GB2312"/>
                <w:sz w:val="24"/>
              </w:rPr>
            </w:pPr>
            <w:r>
              <w:rPr>
                <w:rFonts w:hint="eastAsia" w:ascii="仿宋_GB2312" w:eastAsia="仿宋_GB2312"/>
                <w:sz w:val="24"/>
              </w:rPr>
              <w:t>20</w:t>
            </w:r>
            <w:r>
              <w:rPr>
                <w:rFonts w:hint="eastAsia" w:ascii="仿宋_GB2312" w:eastAsia="仿宋_GB2312"/>
                <w:sz w:val="24"/>
                <w:lang w:val="en-US" w:eastAsia="zh-CN"/>
              </w:rPr>
              <w:t>20</w:t>
            </w:r>
            <w:r>
              <w:rPr>
                <w:rFonts w:hint="eastAsia" w:ascii="仿宋_GB2312" w:eastAsia="仿宋_GB2312"/>
                <w:sz w:val="24"/>
              </w:rPr>
              <w:t>年</w:t>
            </w:r>
          </w:p>
        </w:tc>
        <w:tc>
          <w:tcPr>
            <w:tcW w:w="3118" w:type="dxa"/>
            <w:vAlign w:val="center"/>
          </w:tcPr>
          <w:p>
            <w:pPr>
              <w:spacing w:line="360" w:lineRule="auto"/>
              <w:ind w:firstLine="0" w:firstLineChars="0"/>
              <w:jc w:val="center"/>
              <w:rPr>
                <w:rFonts w:hint="default" w:ascii="仿宋_GB2312" w:eastAsia="仿宋_GB2312" w:hAnsiTheme="majorEastAsia"/>
                <w:color w:val="auto"/>
                <w:sz w:val="24"/>
                <w:lang w:val="en-US" w:eastAsia="zh-CN"/>
              </w:rPr>
            </w:pPr>
            <w:r>
              <w:rPr>
                <w:rFonts w:hint="eastAsia" w:ascii="仿宋_GB2312" w:eastAsia="仿宋_GB2312" w:hAnsiTheme="majorEastAsia"/>
                <w:color w:val="auto"/>
                <w:sz w:val="24"/>
                <w:lang w:val="en-US" w:eastAsia="zh-CN"/>
              </w:rPr>
              <w:t>150</w:t>
            </w:r>
          </w:p>
        </w:tc>
        <w:tc>
          <w:tcPr>
            <w:tcW w:w="2835" w:type="dxa"/>
            <w:vAlign w:val="center"/>
          </w:tcPr>
          <w:p>
            <w:pPr>
              <w:spacing w:line="312" w:lineRule="auto"/>
              <w:ind w:firstLine="480"/>
              <w:jc w:val="center"/>
              <w:rPr>
                <w:rFonts w:hint="default" w:ascii="仿宋_GB2312" w:hAnsi="宋体" w:eastAsia="仿宋_GB2312" w:cs="宋体"/>
                <w:color w:val="auto"/>
                <w:sz w:val="24"/>
                <w:szCs w:val="21"/>
                <w:lang w:val="en-US" w:eastAsia="zh-CN"/>
              </w:rPr>
            </w:pPr>
            <w:r>
              <w:rPr>
                <w:rFonts w:hint="eastAsia" w:ascii="仿宋_GB2312" w:hAnsi="宋体" w:eastAsia="仿宋_GB2312" w:cs="宋体"/>
                <w:color w:val="auto"/>
                <w:sz w:val="24"/>
                <w:szCs w:val="21"/>
                <w:lang w:val="en-US" w:eastAsia="zh-CN"/>
              </w:rPr>
              <w:t>4000</w:t>
            </w:r>
          </w:p>
        </w:tc>
        <w:tc>
          <w:tcPr>
            <w:tcW w:w="2614" w:type="dxa"/>
          </w:tcPr>
          <w:p>
            <w:pPr>
              <w:spacing w:line="360" w:lineRule="auto"/>
              <w:ind w:firstLine="0" w:firstLineChars="0"/>
              <w:jc w:val="center"/>
              <w:rPr>
                <w:rFonts w:hint="default" w:ascii="仿宋_GB2312" w:eastAsia="仿宋_GB2312" w:hAnsiTheme="majorEastAsia"/>
                <w:color w:val="auto"/>
                <w:sz w:val="24"/>
                <w:lang w:val="en-US" w:eastAsia="zh-CN"/>
              </w:rPr>
            </w:pPr>
            <w:r>
              <w:rPr>
                <w:rFonts w:hint="eastAsia" w:ascii="仿宋_GB2312" w:eastAsia="仿宋_GB2312" w:hAnsiTheme="majorEastAsia"/>
                <w:color w:val="auto"/>
                <w:sz w:val="24"/>
                <w:lang w:val="en-US" w:eastAsia="zh-CN"/>
              </w:rPr>
              <w:t>12</w:t>
            </w:r>
          </w:p>
        </w:tc>
      </w:tr>
    </w:tbl>
    <w:p>
      <w:pPr>
        <w:pStyle w:val="2"/>
        <w:spacing w:line="360" w:lineRule="auto"/>
        <w:ind w:firstLine="562"/>
      </w:pPr>
      <w:bookmarkStart w:id="14" w:name="_Toc12904"/>
      <w:bookmarkStart w:id="15" w:name="_Toc503883823"/>
      <w:r>
        <w:rPr>
          <w:rFonts w:hint="eastAsia"/>
        </w:rPr>
        <w:t>二、学生发展</w:t>
      </w:r>
      <w:bookmarkEnd w:id="14"/>
      <w:bookmarkEnd w:id="15"/>
    </w:p>
    <w:p>
      <w:pPr>
        <w:pStyle w:val="3"/>
        <w:spacing w:line="360" w:lineRule="auto"/>
        <w:ind w:firstLine="422"/>
      </w:pPr>
      <w:bookmarkStart w:id="16" w:name="_Toc503883824"/>
      <w:bookmarkStart w:id="17" w:name="_Toc13146"/>
      <w:r>
        <w:rPr>
          <w:rFonts w:hint="eastAsia"/>
        </w:rPr>
        <w:t>（一）学生素质</w:t>
      </w:r>
      <w:bookmarkEnd w:id="16"/>
      <w:bookmarkEnd w:id="17"/>
    </w:p>
    <w:p>
      <w:pPr>
        <w:spacing w:line="360" w:lineRule="auto"/>
        <w:ind w:firstLine="560"/>
      </w:pPr>
      <w:r>
        <w:rPr>
          <w:rFonts w:hint="eastAsia"/>
        </w:rPr>
        <w:t>学校设有学生处和教务处负责根据学生现实表现进行思想政治品德考核，对学生的政治态度、思想品德做出全面鉴定，详见表4。</w:t>
      </w:r>
    </w:p>
    <w:p>
      <w:pPr>
        <w:spacing w:line="360" w:lineRule="auto"/>
        <w:ind w:firstLine="560"/>
        <w:rPr>
          <w:rFonts w:ascii="仿宋_GB2312" w:eastAsia="仿宋_GB2312" w:hAnsiTheme="majorEastAsia"/>
        </w:rPr>
      </w:pPr>
      <w:r>
        <w:rPr>
          <w:rFonts w:hint="eastAsia" w:ascii="仿宋_GB2312" w:eastAsia="仿宋_GB2312"/>
        </w:rPr>
        <w:t>表4. 郑州</w:t>
      </w:r>
      <w:r>
        <w:rPr>
          <w:rFonts w:hint="eastAsia" w:ascii="仿宋_GB2312" w:eastAsia="仿宋_GB2312" w:hAnsiTheme="majorEastAsia"/>
        </w:rPr>
        <w:t>郑州新华中等专业学校201</w:t>
      </w:r>
      <w:r>
        <w:rPr>
          <w:rFonts w:hint="eastAsia" w:ascii="仿宋_GB2312" w:eastAsia="仿宋_GB2312" w:hAnsiTheme="majorEastAsia"/>
          <w:lang w:val="en-US" w:eastAsia="zh-CN"/>
        </w:rPr>
        <w:t>9</w:t>
      </w:r>
      <w:r>
        <w:rPr>
          <w:rFonts w:hint="eastAsia" w:ascii="仿宋_GB2312" w:eastAsia="仿宋_GB2312" w:hAnsiTheme="majorEastAsia"/>
        </w:rPr>
        <w:t>-20</w:t>
      </w:r>
      <w:r>
        <w:rPr>
          <w:rFonts w:hint="eastAsia" w:ascii="仿宋_GB2312" w:eastAsia="仿宋_GB2312" w:hAnsiTheme="majorEastAsia"/>
          <w:lang w:val="en-US" w:eastAsia="zh-CN"/>
        </w:rPr>
        <w:t>20</w:t>
      </w:r>
      <w:r>
        <w:rPr>
          <w:rFonts w:hint="eastAsia" w:ascii="仿宋_GB2312" w:eastAsia="仿宋_GB2312" w:hAnsiTheme="majorEastAsia"/>
        </w:rPr>
        <w:t>学生素质情况对比表</w:t>
      </w:r>
    </w:p>
    <w:tbl>
      <w:tblPr>
        <w:tblStyle w:val="1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127"/>
        <w:gridCol w:w="2268"/>
        <w:gridCol w:w="2332"/>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pacing w:line="360" w:lineRule="auto"/>
              <w:ind w:firstLine="0" w:firstLineChars="0"/>
              <w:rPr>
                <w:rFonts w:ascii="仿宋_GB2312" w:eastAsia="仿宋_GB2312"/>
                <w:sz w:val="24"/>
              </w:rPr>
            </w:pPr>
          </w:p>
        </w:tc>
        <w:tc>
          <w:tcPr>
            <w:tcW w:w="2127" w:type="dxa"/>
          </w:tcPr>
          <w:p>
            <w:pPr>
              <w:spacing w:line="360" w:lineRule="auto"/>
              <w:ind w:firstLine="0" w:firstLineChars="0"/>
              <w:jc w:val="center"/>
              <w:rPr>
                <w:rFonts w:ascii="仿宋_GB2312" w:eastAsia="仿宋_GB2312"/>
                <w:sz w:val="24"/>
              </w:rPr>
            </w:pPr>
            <w:r>
              <w:rPr>
                <w:rFonts w:hint="eastAsia" w:ascii="仿宋_GB2312" w:eastAsia="仿宋_GB2312"/>
                <w:sz w:val="24"/>
              </w:rPr>
              <w:t>文化课合格率</w:t>
            </w:r>
          </w:p>
        </w:tc>
        <w:tc>
          <w:tcPr>
            <w:tcW w:w="2268" w:type="dxa"/>
          </w:tcPr>
          <w:p>
            <w:pPr>
              <w:spacing w:line="360" w:lineRule="auto"/>
              <w:ind w:firstLine="0" w:firstLineChars="0"/>
              <w:jc w:val="center"/>
              <w:rPr>
                <w:rFonts w:ascii="仿宋_GB2312" w:eastAsia="仿宋_GB2312"/>
                <w:sz w:val="24"/>
              </w:rPr>
            </w:pPr>
            <w:r>
              <w:rPr>
                <w:rFonts w:hint="eastAsia" w:ascii="仿宋_GB2312" w:eastAsia="仿宋_GB2312"/>
                <w:sz w:val="24"/>
              </w:rPr>
              <w:t>专业技能合格率</w:t>
            </w:r>
          </w:p>
        </w:tc>
        <w:tc>
          <w:tcPr>
            <w:tcW w:w="2332" w:type="dxa"/>
          </w:tcPr>
          <w:p>
            <w:pPr>
              <w:spacing w:line="360" w:lineRule="auto"/>
              <w:ind w:firstLine="0" w:firstLineChars="0"/>
              <w:jc w:val="center"/>
              <w:rPr>
                <w:rFonts w:ascii="仿宋_GB2312" w:eastAsia="仿宋_GB2312"/>
                <w:sz w:val="24"/>
              </w:rPr>
            </w:pPr>
            <w:r>
              <w:rPr>
                <w:rFonts w:hint="eastAsia" w:ascii="仿宋_GB2312" w:eastAsia="仿宋_GB2312"/>
                <w:sz w:val="24"/>
              </w:rPr>
              <w:t>体质测评合格率</w:t>
            </w:r>
          </w:p>
        </w:tc>
        <w:tc>
          <w:tcPr>
            <w:tcW w:w="1993" w:type="dxa"/>
          </w:tcPr>
          <w:p>
            <w:pPr>
              <w:spacing w:line="360" w:lineRule="auto"/>
              <w:ind w:firstLine="0" w:firstLineChars="0"/>
              <w:jc w:val="center"/>
              <w:rPr>
                <w:rFonts w:ascii="仿宋_GB2312" w:eastAsia="仿宋_GB2312"/>
                <w:sz w:val="24"/>
              </w:rPr>
            </w:pPr>
            <w:r>
              <w:rPr>
                <w:rFonts w:hint="eastAsia" w:ascii="仿宋_GB2312" w:eastAsia="仿宋_GB2312"/>
                <w:sz w:val="24"/>
              </w:rPr>
              <w:t>毕业率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top"/>
          </w:tcPr>
          <w:p>
            <w:pPr>
              <w:spacing w:line="360" w:lineRule="auto"/>
              <w:ind w:firstLine="0" w:firstLineChars="0"/>
              <w:jc w:val="center"/>
              <w:rPr>
                <w:rFonts w:ascii="仿宋_GB2312" w:eastAsia="仿宋_GB2312"/>
                <w:sz w:val="24"/>
              </w:rPr>
            </w:pPr>
            <w:r>
              <w:rPr>
                <w:rFonts w:hint="eastAsia" w:ascii="仿宋_GB2312" w:eastAsia="仿宋_GB2312"/>
                <w:sz w:val="24"/>
              </w:rPr>
              <w:t>201</w:t>
            </w:r>
            <w:r>
              <w:rPr>
                <w:rFonts w:hint="eastAsia" w:ascii="仿宋_GB2312" w:eastAsia="仿宋_GB2312"/>
                <w:sz w:val="24"/>
                <w:lang w:val="en-US" w:eastAsia="zh-CN"/>
              </w:rPr>
              <w:t>9</w:t>
            </w:r>
            <w:r>
              <w:rPr>
                <w:rFonts w:hint="eastAsia" w:ascii="仿宋_GB2312" w:eastAsia="仿宋_GB2312"/>
                <w:sz w:val="24"/>
              </w:rPr>
              <w:t>年</w:t>
            </w:r>
          </w:p>
        </w:tc>
        <w:tc>
          <w:tcPr>
            <w:tcW w:w="2127" w:type="dxa"/>
            <w:vAlign w:val="center"/>
          </w:tcPr>
          <w:p>
            <w:pPr>
              <w:spacing w:line="312" w:lineRule="auto"/>
              <w:ind w:firstLine="0" w:firstLineChars="0"/>
              <w:jc w:val="center"/>
              <w:rPr>
                <w:rFonts w:ascii="仿宋_GB2312" w:hAnsi="宋体" w:eastAsia="仿宋_GB2312" w:cs="宋体"/>
                <w:sz w:val="24"/>
                <w:szCs w:val="21"/>
              </w:rPr>
            </w:pPr>
            <w:r>
              <w:rPr>
                <w:rFonts w:hint="eastAsia" w:ascii="仿宋_GB2312" w:hAnsi="宋体" w:eastAsia="仿宋_GB2312" w:cs="宋体"/>
                <w:color w:val="auto"/>
                <w:sz w:val="24"/>
                <w:szCs w:val="21"/>
              </w:rPr>
              <w:t>99</w:t>
            </w:r>
            <w:r>
              <w:rPr>
                <w:rFonts w:hint="eastAsia" w:ascii="仿宋_GB2312" w:hAnsi="宋体" w:eastAsia="仿宋_GB2312" w:cs="宋体"/>
                <w:color w:val="auto"/>
                <w:sz w:val="24"/>
                <w:szCs w:val="21"/>
                <w:lang w:val="en-US" w:eastAsia="zh-CN"/>
              </w:rPr>
              <w:t>.3</w:t>
            </w:r>
            <w:r>
              <w:rPr>
                <w:rFonts w:hint="eastAsia" w:ascii="仿宋_GB2312" w:hAnsi="宋体" w:eastAsia="仿宋_GB2312" w:cs="宋体"/>
                <w:color w:val="auto"/>
                <w:sz w:val="24"/>
                <w:szCs w:val="21"/>
              </w:rPr>
              <w:t>%</w:t>
            </w:r>
          </w:p>
        </w:tc>
        <w:tc>
          <w:tcPr>
            <w:tcW w:w="2268" w:type="dxa"/>
            <w:vAlign w:val="center"/>
          </w:tcPr>
          <w:p>
            <w:pPr>
              <w:spacing w:line="312" w:lineRule="auto"/>
              <w:ind w:firstLine="0" w:firstLineChars="0"/>
              <w:jc w:val="center"/>
              <w:rPr>
                <w:rFonts w:ascii="仿宋_GB2312" w:hAnsi="宋体" w:eastAsia="仿宋_GB2312" w:cs="宋体"/>
                <w:sz w:val="24"/>
                <w:szCs w:val="21"/>
              </w:rPr>
            </w:pPr>
            <w:r>
              <w:rPr>
                <w:rFonts w:hint="eastAsia" w:ascii="仿宋_GB2312" w:hAnsi="宋体" w:eastAsia="仿宋_GB2312" w:cs="宋体"/>
                <w:color w:val="auto"/>
                <w:sz w:val="24"/>
                <w:szCs w:val="21"/>
              </w:rPr>
              <w:t>99</w:t>
            </w:r>
            <w:r>
              <w:rPr>
                <w:rFonts w:hint="eastAsia" w:ascii="仿宋_GB2312" w:hAnsi="宋体" w:eastAsia="仿宋_GB2312" w:cs="宋体"/>
                <w:color w:val="auto"/>
                <w:sz w:val="24"/>
                <w:szCs w:val="21"/>
                <w:lang w:val="en-US" w:eastAsia="zh-CN"/>
              </w:rPr>
              <w:t>.4</w:t>
            </w:r>
            <w:r>
              <w:rPr>
                <w:rFonts w:hint="eastAsia" w:ascii="仿宋_GB2312" w:hAnsi="宋体" w:eastAsia="仿宋_GB2312" w:cs="宋体"/>
                <w:color w:val="auto"/>
                <w:sz w:val="24"/>
                <w:szCs w:val="21"/>
              </w:rPr>
              <w:t>%</w:t>
            </w:r>
          </w:p>
        </w:tc>
        <w:tc>
          <w:tcPr>
            <w:tcW w:w="2332" w:type="dxa"/>
            <w:vAlign w:val="center"/>
          </w:tcPr>
          <w:p>
            <w:pPr>
              <w:spacing w:line="312" w:lineRule="auto"/>
              <w:ind w:firstLine="0" w:firstLineChars="0"/>
              <w:jc w:val="center"/>
              <w:rPr>
                <w:rFonts w:ascii="仿宋_GB2312" w:hAnsi="宋体" w:eastAsia="仿宋_GB2312" w:cs="宋体"/>
                <w:sz w:val="24"/>
                <w:szCs w:val="21"/>
              </w:rPr>
            </w:pPr>
            <w:r>
              <w:rPr>
                <w:rFonts w:hint="eastAsia" w:ascii="仿宋_GB2312" w:hAnsi="宋体" w:eastAsia="仿宋_GB2312" w:cs="宋体"/>
                <w:color w:val="auto"/>
                <w:sz w:val="24"/>
                <w:szCs w:val="21"/>
              </w:rPr>
              <w:t>99</w:t>
            </w:r>
            <w:r>
              <w:rPr>
                <w:rFonts w:hint="eastAsia" w:ascii="仿宋_GB2312" w:hAnsi="宋体" w:eastAsia="仿宋_GB2312" w:cs="宋体"/>
                <w:color w:val="auto"/>
                <w:sz w:val="24"/>
                <w:szCs w:val="21"/>
                <w:lang w:val="en-US" w:eastAsia="zh-CN"/>
              </w:rPr>
              <w:t>.3</w:t>
            </w:r>
            <w:r>
              <w:rPr>
                <w:rFonts w:hint="eastAsia" w:ascii="仿宋_GB2312" w:hAnsi="宋体" w:eastAsia="仿宋_GB2312" w:cs="宋体"/>
                <w:color w:val="auto"/>
                <w:sz w:val="24"/>
                <w:szCs w:val="21"/>
              </w:rPr>
              <w:t>%</w:t>
            </w:r>
          </w:p>
        </w:tc>
        <w:tc>
          <w:tcPr>
            <w:tcW w:w="1993" w:type="dxa"/>
            <w:vAlign w:val="center"/>
          </w:tcPr>
          <w:p>
            <w:pPr>
              <w:spacing w:line="312" w:lineRule="auto"/>
              <w:ind w:firstLine="0" w:firstLineChars="0"/>
              <w:jc w:val="center"/>
              <w:rPr>
                <w:rFonts w:ascii="仿宋_GB2312" w:hAnsi="宋体" w:eastAsia="仿宋_GB2312" w:cs="宋体"/>
                <w:sz w:val="24"/>
                <w:szCs w:val="21"/>
              </w:rPr>
            </w:pPr>
            <w:r>
              <w:rPr>
                <w:rFonts w:hint="eastAsia" w:ascii="仿宋_GB2312" w:hAnsi="宋体" w:eastAsia="仿宋_GB2312" w:cs="宋体"/>
                <w:color w:val="auto"/>
                <w:sz w:val="24"/>
                <w:szCs w:val="21"/>
              </w:rPr>
              <w:t>99</w:t>
            </w:r>
            <w:r>
              <w:rPr>
                <w:rFonts w:hint="eastAsia" w:ascii="仿宋_GB2312" w:hAnsi="宋体" w:eastAsia="仿宋_GB2312" w:cs="宋体"/>
                <w:color w:val="auto"/>
                <w:sz w:val="24"/>
                <w:szCs w:val="21"/>
                <w:lang w:val="en-US" w:eastAsia="zh-CN"/>
              </w:rPr>
              <w:t>.7</w:t>
            </w:r>
            <w:r>
              <w:rPr>
                <w:rFonts w:hint="eastAsia" w:ascii="仿宋_GB2312" w:hAnsi="宋体" w:eastAsia="仿宋_GB2312" w:cs="宋体"/>
                <w:color w:val="auto"/>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pacing w:line="360" w:lineRule="auto"/>
              <w:ind w:firstLine="0" w:firstLineChars="0"/>
              <w:jc w:val="center"/>
              <w:rPr>
                <w:rFonts w:ascii="仿宋_GB2312" w:eastAsia="仿宋_GB2312"/>
                <w:sz w:val="24"/>
              </w:rPr>
            </w:pPr>
            <w:r>
              <w:rPr>
                <w:rFonts w:hint="eastAsia" w:ascii="仿宋_GB2312" w:eastAsia="仿宋_GB2312"/>
                <w:sz w:val="24"/>
              </w:rPr>
              <w:t>20</w:t>
            </w:r>
            <w:r>
              <w:rPr>
                <w:rFonts w:hint="eastAsia" w:ascii="仿宋_GB2312" w:eastAsia="仿宋_GB2312"/>
                <w:sz w:val="24"/>
                <w:lang w:val="en-US" w:eastAsia="zh-CN"/>
              </w:rPr>
              <w:t>20</w:t>
            </w:r>
            <w:r>
              <w:rPr>
                <w:rFonts w:hint="eastAsia" w:ascii="仿宋_GB2312" w:eastAsia="仿宋_GB2312"/>
                <w:sz w:val="24"/>
              </w:rPr>
              <w:t>年</w:t>
            </w:r>
          </w:p>
        </w:tc>
        <w:tc>
          <w:tcPr>
            <w:tcW w:w="2127" w:type="dxa"/>
            <w:vAlign w:val="center"/>
          </w:tcPr>
          <w:p>
            <w:pPr>
              <w:spacing w:line="312" w:lineRule="auto"/>
              <w:ind w:firstLine="0" w:firstLineChars="0"/>
              <w:jc w:val="center"/>
              <w:rPr>
                <w:rFonts w:ascii="仿宋_GB2312" w:hAnsi="宋体" w:eastAsia="仿宋_GB2312" w:cs="宋体"/>
                <w:color w:val="auto"/>
                <w:sz w:val="24"/>
                <w:szCs w:val="21"/>
              </w:rPr>
            </w:pPr>
            <w:r>
              <w:rPr>
                <w:rFonts w:hint="eastAsia" w:ascii="仿宋_GB2312" w:hAnsi="宋体" w:eastAsia="仿宋_GB2312" w:cs="宋体"/>
                <w:color w:val="auto"/>
                <w:sz w:val="24"/>
                <w:szCs w:val="21"/>
              </w:rPr>
              <w:t>99</w:t>
            </w:r>
            <w:r>
              <w:rPr>
                <w:rFonts w:hint="eastAsia" w:ascii="仿宋_GB2312" w:hAnsi="宋体" w:eastAsia="仿宋_GB2312" w:cs="宋体"/>
                <w:color w:val="auto"/>
                <w:sz w:val="24"/>
                <w:szCs w:val="21"/>
                <w:lang w:val="en-US" w:eastAsia="zh-CN"/>
              </w:rPr>
              <w:t>.2</w:t>
            </w:r>
            <w:r>
              <w:rPr>
                <w:rFonts w:hint="eastAsia" w:ascii="仿宋_GB2312" w:hAnsi="宋体" w:eastAsia="仿宋_GB2312" w:cs="宋体"/>
                <w:color w:val="auto"/>
                <w:sz w:val="24"/>
                <w:szCs w:val="21"/>
              </w:rPr>
              <w:t>%</w:t>
            </w:r>
          </w:p>
        </w:tc>
        <w:tc>
          <w:tcPr>
            <w:tcW w:w="2268" w:type="dxa"/>
            <w:vAlign w:val="center"/>
          </w:tcPr>
          <w:p>
            <w:pPr>
              <w:spacing w:line="312" w:lineRule="auto"/>
              <w:ind w:firstLine="0" w:firstLineChars="0"/>
              <w:jc w:val="center"/>
              <w:rPr>
                <w:rFonts w:ascii="仿宋_GB2312" w:hAnsi="宋体" w:eastAsia="仿宋_GB2312" w:cs="宋体"/>
                <w:color w:val="auto"/>
                <w:sz w:val="24"/>
                <w:szCs w:val="21"/>
              </w:rPr>
            </w:pPr>
            <w:r>
              <w:rPr>
                <w:rFonts w:hint="eastAsia" w:ascii="仿宋_GB2312" w:hAnsi="宋体" w:eastAsia="仿宋_GB2312" w:cs="宋体"/>
                <w:color w:val="auto"/>
                <w:sz w:val="24"/>
                <w:szCs w:val="21"/>
              </w:rPr>
              <w:t>99</w:t>
            </w:r>
            <w:r>
              <w:rPr>
                <w:rFonts w:hint="eastAsia" w:ascii="仿宋_GB2312" w:hAnsi="宋体" w:eastAsia="仿宋_GB2312" w:cs="宋体"/>
                <w:color w:val="auto"/>
                <w:sz w:val="24"/>
                <w:szCs w:val="21"/>
                <w:lang w:val="en-US" w:eastAsia="zh-CN"/>
              </w:rPr>
              <w:t>.6</w:t>
            </w:r>
            <w:r>
              <w:rPr>
                <w:rFonts w:hint="eastAsia" w:ascii="仿宋_GB2312" w:hAnsi="宋体" w:eastAsia="仿宋_GB2312" w:cs="宋体"/>
                <w:color w:val="auto"/>
                <w:sz w:val="24"/>
                <w:szCs w:val="21"/>
              </w:rPr>
              <w:t>%</w:t>
            </w:r>
          </w:p>
        </w:tc>
        <w:tc>
          <w:tcPr>
            <w:tcW w:w="2332" w:type="dxa"/>
            <w:vAlign w:val="center"/>
          </w:tcPr>
          <w:p>
            <w:pPr>
              <w:spacing w:line="312" w:lineRule="auto"/>
              <w:ind w:firstLine="0" w:firstLineChars="0"/>
              <w:jc w:val="center"/>
              <w:rPr>
                <w:rFonts w:ascii="仿宋_GB2312" w:hAnsi="宋体" w:eastAsia="仿宋_GB2312" w:cs="宋体"/>
                <w:color w:val="auto"/>
                <w:sz w:val="24"/>
                <w:szCs w:val="21"/>
              </w:rPr>
            </w:pPr>
            <w:r>
              <w:rPr>
                <w:rFonts w:hint="eastAsia" w:ascii="仿宋_GB2312" w:hAnsi="宋体" w:eastAsia="仿宋_GB2312" w:cs="宋体"/>
                <w:color w:val="auto"/>
                <w:sz w:val="24"/>
                <w:szCs w:val="21"/>
              </w:rPr>
              <w:t>99</w:t>
            </w:r>
            <w:r>
              <w:rPr>
                <w:rFonts w:hint="eastAsia" w:ascii="仿宋_GB2312" w:hAnsi="宋体" w:eastAsia="仿宋_GB2312" w:cs="宋体"/>
                <w:color w:val="auto"/>
                <w:sz w:val="24"/>
                <w:szCs w:val="21"/>
                <w:lang w:val="en-US" w:eastAsia="zh-CN"/>
              </w:rPr>
              <w:t>.0</w:t>
            </w:r>
            <w:r>
              <w:rPr>
                <w:rFonts w:hint="eastAsia" w:ascii="仿宋_GB2312" w:hAnsi="宋体" w:eastAsia="仿宋_GB2312" w:cs="宋体"/>
                <w:color w:val="auto"/>
                <w:sz w:val="24"/>
                <w:szCs w:val="21"/>
              </w:rPr>
              <w:t>%</w:t>
            </w:r>
          </w:p>
        </w:tc>
        <w:tc>
          <w:tcPr>
            <w:tcW w:w="1993" w:type="dxa"/>
            <w:vAlign w:val="center"/>
          </w:tcPr>
          <w:p>
            <w:pPr>
              <w:spacing w:line="312" w:lineRule="auto"/>
              <w:ind w:firstLine="0" w:firstLineChars="0"/>
              <w:jc w:val="center"/>
              <w:rPr>
                <w:rFonts w:ascii="仿宋_GB2312" w:hAnsi="宋体" w:eastAsia="仿宋_GB2312" w:cs="宋体"/>
                <w:color w:val="auto"/>
                <w:sz w:val="24"/>
                <w:szCs w:val="21"/>
              </w:rPr>
            </w:pPr>
            <w:r>
              <w:rPr>
                <w:rFonts w:hint="eastAsia" w:ascii="仿宋_GB2312" w:hAnsi="宋体" w:eastAsia="仿宋_GB2312" w:cs="宋体"/>
                <w:color w:val="auto"/>
                <w:sz w:val="24"/>
                <w:szCs w:val="21"/>
              </w:rPr>
              <w:t>99</w:t>
            </w:r>
            <w:r>
              <w:rPr>
                <w:rFonts w:hint="eastAsia" w:ascii="仿宋_GB2312" w:hAnsi="宋体" w:eastAsia="仿宋_GB2312" w:cs="宋体"/>
                <w:color w:val="auto"/>
                <w:sz w:val="24"/>
                <w:szCs w:val="21"/>
                <w:lang w:val="en-US" w:eastAsia="zh-CN"/>
              </w:rPr>
              <w:t>.5</w:t>
            </w:r>
            <w:r>
              <w:rPr>
                <w:rFonts w:hint="eastAsia" w:ascii="仿宋_GB2312" w:hAnsi="宋体" w:eastAsia="仿宋_GB2312" w:cs="宋体"/>
                <w:color w:val="auto"/>
                <w:sz w:val="24"/>
                <w:szCs w:val="21"/>
              </w:rPr>
              <w:t>%</w:t>
            </w:r>
          </w:p>
        </w:tc>
      </w:tr>
    </w:tbl>
    <w:p>
      <w:pPr>
        <w:pStyle w:val="3"/>
        <w:spacing w:line="360" w:lineRule="auto"/>
        <w:ind w:firstLine="422"/>
      </w:pPr>
      <w:bookmarkStart w:id="18" w:name="_Toc18500"/>
      <w:bookmarkStart w:id="19" w:name="_Toc503883825"/>
      <w:r>
        <w:rPr>
          <w:rFonts w:hint="eastAsia"/>
        </w:rPr>
        <w:t>（二）在校体验</w:t>
      </w:r>
      <w:bookmarkEnd w:id="18"/>
      <w:bookmarkEnd w:id="19"/>
    </w:p>
    <w:p>
      <w:pPr>
        <w:spacing w:line="360" w:lineRule="auto"/>
        <w:ind w:firstLine="560"/>
      </w:pPr>
      <w:r>
        <w:rPr>
          <w:rFonts w:hint="eastAsia"/>
        </w:rPr>
        <w:t>为全面监测学生在校期间学习、生活等感受，学校每年都会开展问卷调查工作，20</w:t>
      </w:r>
      <w:r>
        <w:rPr>
          <w:rFonts w:hint="eastAsia"/>
          <w:lang w:val="en-US" w:eastAsia="zh-CN"/>
        </w:rPr>
        <w:t>20</w:t>
      </w:r>
      <w:r>
        <w:rPr>
          <w:rFonts w:hint="eastAsia"/>
        </w:rPr>
        <w:t>年问卷统计结果详见表5。</w:t>
      </w:r>
    </w:p>
    <w:p>
      <w:pPr>
        <w:spacing w:line="360" w:lineRule="auto"/>
        <w:ind w:firstLine="560"/>
        <w:rPr>
          <w:rFonts w:hint="eastAsia" w:ascii="仿宋_GB2312" w:eastAsia="仿宋_GB2312"/>
        </w:rPr>
      </w:pPr>
    </w:p>
    <w:p>
      <w:pPr>
        <w:spacing w:line="360" w:lineRule="auto"/>
        <w:ind w:firstLine="560"/>
        <w:rPr>
          <w:rFonts w:ascii="仿宋_GB2312" w:eastAsia="仿宋_GB2312" w:hAnsiTheme="majorEastAsia"/>
        </w:rPr>
      </w:pPr>
      <w:r>
        <w:rPr>
          <w:rFonts w:hint="eastAsia" w:ascii="仿宋_GB2312" w:eastAsia="仿宋_GB2312"/>
        </w:rPr>
        <w:t>表5. 郑州</w:t>
      </w:r>
      <w:r>
        <w:rPr>
          <w:rFonts w:hint="eastAsia" w:ascii="仿宋_GB2312" w:eastAsia="仿宋_GB2312" w:hAnsiTheme="majorEastAsia"/>
        </w:rPr>
        <w:t>郑州新华中等专业学校20</w:t>
      </w:r>
      <w:r>
        <w:rPr>
          <w:rFonts w:hint="eastAsia" w:ascii="仿宋_GB2312" w:eastAsia="仿宋_GB2312" w:hAnsiTheme="majorEastAsia"/>
          <w:lang w:val="en-US" w:eastAsia="zh-CN"/>
        </w:rPr>
        <w:t>20</w:t>
      </w:r>
      <w:r>
        <w:rPr>
          <w:rFonts w:hint="eastAsia" w:ascii="仿宋_GB2312" w:eastAsia="仿宋_GB2312" w:hAnsiTheme="majorEastAsia"/>
        </w:rPr>
        <w:t>年学生满意度调查分析表</w:t>
      </w:r>
    </w:p>
    <w:p>
      <w:pPr>
        <w:pStyle w:val="3"/>
        <w:spacing w:line="360" w:lineRule="auto"/>
        <w:ind w:firstLine="422"/>
      </w:pPr>
      <w:bookmarkStart w:id="20" w:name="_Toc503883826"/>
      <w:bookmarkStart w:id="21" w:name="_Toc8305"/>
      <w:r>
        <w:drawing>
          <wp:inline distT="0" distB="0" distL="114300" distR="114300">
            <wp:extent cx="6029325" cy="2239645"/>
            <wp:effectExtent l="0" t="0" r="9525" b="825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a:srcRect t="-2082"/>
                    <a:stretch>
                      <a:fillRect/>
                    </a:stretch>
                  </pic:blipFill>
                  <pic:spPr>
                    <a:xfrm>
                      <a:off x="0" y="0"/>
                      <a:ext cx="6029325" cy="2239645"/>
                    </a:xfrm>
                    <a:prstGeom prst="rect">
                      <a:avLst/>
                    </a:prstGeom>
                    <a:noFill/>
                    <a:ln w="9525">
                      <a:noFill/>
                    </a:ln>
                  </pic:spPr>
                </pic:pic>
              </a:graphicData>
            </a:graphic>
          </wp:inline>
        </w:drawing>
      </w:r>
      <w:r>
        <w:rPr>
          <w:rFonts w:hint="eastAsia"/>
        </w:rPr>
        <w:t>（三）资助情况</w:t>
      </w:r>
      <w:bookmarkEnd w:id="20"/>
      <w:bookmarkEnd w:id="21"/>
    </w:p>
    <w:p>
      <w:pPr>
        <w:spacing w:line="360" w:lineRule="auto"/>
        <w:ind w:firstLine="560"/>
      </w:pPr>
      <w:r>
        <w:rPr>
          <w:rFonts w:hint="eastAsia"/>
        </w:rPr>
        <w:t>在资助审核方面，我校严格遵循国家助学金和免学费的各项规定，对学生受助学生的资格进行严格把控，充分保证了资助工作的严谨性，防止出现学生冒领、多领国家助学金的现象。同时严格依据“全国中等职业学校学生管理信息系统”对学生资助状态进行管理，维护。</w:t>
      </w:r>
    </w:p>
    <w:p>
      <w:pPr>
        <w:pStyle w:val="3"/>
        <w:spacing w:line="360" w:lineRule="auto"/>
        <w:ind w:firstLine="422"/>
      </w:pPr>
      <w:bookmarkStart w:id="22" w:name="_Toc30876"/>
      <w:bookmarkStart w:id="23" w:name="_Toc503883827"/>
      <w:r>
        <w:rPr>
          <w:rFonts w:hint="eastAsia"/>
        </w:rPr>
        <w:t>（四）就业质量</w:t>
      </w:r>
      <w:bookmarkEnd w:id="22"/>
      <w:bookmarkEnd w:id="23"/>
    </w:p>
    <w:p>
      <w:pPr>
        <w:spacing w:line="360" w:lineRule="auto"/>
        <w:ind w:firstLine="560"/>
      </w:pPr>
      <w:r>
        <w:rPr>
          <w:rFonts w:hint="eastAsia"/>
        </w:rPr>
        <w:t>我校始终致力为社会培养计算机紧缺型技能型合格人才，让每位学子轻松就业是新华人孜孜以求的目标，我校的就业制度得到了省市教育主管部门、社会用人单位及广大学生家长的一致好评。20</w:t>
      </w:r>
      <w:r>
        <w:rPr>
          <w:rFonts w:hint="eastAsia"/>
          <w:lang w:val="en-US" w:eastAsia="zh-CN"/>
        </w:rPr>
        <w:t>20</w:t>
      </w:r>
      <w:r>
        <w:rPr>
          <w:rFonts w:hint="eastAsia"/>
        </w:rPr>
        <w:t>年毕业生就业情况详见表6。</w:t>
      </w:r>
    </w:p>
    <w:p>
      <w:pPr>
        <w:spacing w:line="360" w:lineRule="auto"/>
        <w:ind w:firstLine="560"/>
        <w:rPr>
          <w:rFonts w:ascii="仿宋_GB2312" w:eastAsia="仿宋_GB2312" w:hAnsiTheme="majorEastAsia"/>
        </w:rPr>
      </w:pPr>
      <w:r>
        <w:rPr>
          <w:rFonts w:hint="eastAsia" w:ascii="仿宋_GB2312" w:eastAsia="仿宋_GB2312"/>
        </w:rPr>
        <w:t>表</w:t>
      </w:r>
      <w:r>
        <w:rPr>
          <w:rFonts w:hint="eastAsia" w:ascii="仿宋_GB2312" w:eastAsia="仿宋_GB2312"/>
          <w:lang w:val="en-US" w:eastAsia="zh-CN"/>
        </w:rPr>
        <w:t>6</w:t>
      </w:r>
      <w:r>
        <w:rPr>
          <w:rFonts w:hint="eastAsia" w:ascii="仿宋_GB2312" w:eastAsia="仿宋_GB2312"/>
        </w:rPr>
        <w:t>. 郑州</w:t>
      </w:r>
      <w:r>
        <w:rPr>
          <w:rFonts w:hint="eastAsia" w:ascii="仿宋_GB2312" w:eastAsia="仿宋_GB2312" w:hAnsiTheme="majorEastAsia"/>
        </w:rPr>
        <w:t>新华中等专业学校201</w:t>
      </w:r>
      <w:r>
        <w:rPr>
          <w:rFonts w:hint="eastAsia" w:ascii="仿宋_GB2312" w:eastAsia="仿宋_GB2312" w:hAnsiTheme="majorEastAsia"/>
          <w:lang w:val="en-US" w:eastAsia="zh-CN"/>
        </w:rPr>
        <w:t>9</w:t>
      </w:r>
      <w:r>
        <w:rPr>
          <w:rFonts w:hint="eastAsia" w:ascii="仿宋_GB2312" w:eastAsia="仿宋_GB2312" w:hAnsiTheme="majorEastAsia"/>
        </w:rPr>
        <w:t>-20</w:t>
      </w:r>
      <w:r>
        <w:rPr>
          <w:rFonts w:hint="eastAsia" w:ascii="仿宋_GB2312" w:eastAsia="仿宋_GB2312" w:hAnsiTheme="majorEastAsia"/>
          <w:lang w:val="en-US" w:eastAsia="zh-CN"/>
        </w:rPr>
        <w:t>20</w:t>
      </w:r>
      <w:r>
        <w:rPr>
          <w:rFonts w:hint="eastAsia" w:ascii="仿宋_GB2312" w:eastAsia="仿宋_GB2312" w:hAnsiTheme="majorEastAsia"/>
        </w:rPr>
        <w:t>年毕业生就业情况统计表</w:t>
      </w:r>
    </w:p>
    <w:tbl>
      <w:tblPr>
        <w:tblStyle w:val="1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843"/>
        <w:gridCol w:w="1984"/>
        <w:gridCol w:w="2693"/>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360" w:lineRule="auto"/>
              <w:ind w:firstLine="0" w:firstLineChars="0"/>
              <w:jc w:val="center"/>
              <w:rPr>
                <w:rFonts w:ascii="仿宋_GB2312" w:eastAsia="仿宋_GB2312"/>
                <w:sz w:val="24"/>
              </w:rPr>
            </w:pPr>
          </w:p>
        </w:tc>
        <w:tc>
          <w:tcPr>
            <w:tcW w:w="1843" w:type="dxa"/>
            <w:vAlign w:val="center"/>
          </w:tcPr>
          <w:p>
            <w:pPr>
              <w:spacing w:line="360" w:lineRule="auto"/>
              <w:ind w:firstLine="0" w:firstLineChars="0"/>
              <w:jc w:val="center"/>
              <w:rPr>
                <w:rFonts w:ascii="仿宋_GB2312" w:eastAsia="仿宋_GB2312"/>
                <w:sz w:val="24"/>
              </w:rPr>
            </w:pPr>
            <w:r>
              <w:rPr>
                <w:rFonts w:hint="eastAsia" w:ascii="仿宋_GB2312" w:eastAsia="仿宋_GB2312"/>
                <w:sz w:val="24"/>
              </w:rPr>
              <w:t>就业率</w:t>
            </w:r>
          </w:p>
        </w:tc>
        <w:tc>
          <w:tcPr>
            <w:tcW w:w="1984" w:type="dxa"/>
            <w:vAlign w:val="center"/>
          </w:tcPr>
          <w:p>
            <w:pPr>
              <w:spacing w:line="360" w:lineRule="auto"/>
              <w:ind w:firstLine="0" w:firstLineChars="0"/>
              <w:jc w:val="center"/>
              <w:rPr>
                <w:rFonts w:ascii="仿宋_GB2312" w:eastAsia="仿宋_GB2312"/>
                <w:sz w:val="24"/>
              </w:rPr>
            </w:pPr>
            <w:r>
              <w:rPr>
                <w:rFonts w:hint="eastAsia" w:ascii="仿宋_GB2312" w:eastAsia="仿宋_GB2312"/>
                <w:sz w:val="24"/>
              </w:rPr>
              <w:t>对口就业率</w:t>
            </w:r>
          </w:p>
        </w:tc>
        <w:tc>
          <w:tcPr>
            <w:tcW w:w="2693" w:type="dxa"/>
            <w:vAlign w:val="center"/>
          </w:tcPr>
          <w:p>
            <w:pPr>
              <w:spacing w:line="360" w:lineRule="auto"/>
              <w:ind w:firstLine="0" w:firstLineChars="0"/>
              <w:jc w:val="center"/>
              <w:rPr>
                <w:rFonts w:ascii="仿宋_GB2312" w:eastAsia="仿宋_GB2312"/>
                <w:sz w:val="24"/>
              </w:rPr>
            </w:pPr>
            <w:r>
              <w:rPr>
                <w:rFonts w:hint="eastAsia" w:ascii="仿宋_GB2312" w:eastAsia="仿宋_GB2312"/>
                <w:sz w:val="24"/>
              </w:rPr>
              <w:t>初次就业月收入（元）</w:t>
            </w:r>
          </w:p>
        </w:tc>
        <w:tc>
          <w:tcPr>
            <w:tcW w:w="1916" w:type="dxa"/>
            <w:vAlign w:val="center"/>
          </w:tcPr>
          <w:p>
            <w:pPr>
              <w:spacing w:line="360" w:lineRule="auto"/>
              <w:ind w:firstLine="0" w:firstLineChars="0"/>
              <w:jc w:val="center"/>
              <w:rPr>
                <w:rFonts w:ascii="仿宋_GB2312" w:eastAsia="仿宋_GB2312"/>
                <w:sz w:val="24"/>
              </w:rPr>
            </w:pPr>
            <w:r>
              <w:rPr>
                <w:rFonts w:hint="eastAsia" w:ascii="仿宋_GB2312" w:eastAsia="仿宋_GB2312"/>
                <w:sz w:val="24"/>
              </w:rPr>
              <w:t>创业率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360" w:lineRule="auto"/>
              <w:ind w:firstLine="0" w:firstLineChars="0"/>
              <w:jc w:val="center"/>
              <w:rPr>
                <w:rFonts w:ascii="仿宋_GB2312" w:eastAsia="仿宋_GB2312"/>
                <w:sz w:val="24"/>
              </w:rPr>
            </w:pPr>
            <w:r>
              <w:rPr>
                <w:rFonts w:hint="eastAsia" w:ascii="仿宋_GB2312" w:eastAsia="仿宋_GB2312"/>
                <w:sz w:val="24"/>
              </w:rPr>
              <w:t>201</w:t>
            </w:r>
            <w:r>
              <w:rPr>
                <w:rFonts w:hint="eastAsia" w:ascii="仿宋_GB2312" w:eastAsia="仿宋_GB2312"/>
                <w:sz w:val="24"/>
                <w:lang w:val="en-US" w:eastAsia="zh-CN"/>
              </w:rPr>
              <w:t>9</w:t>
            </w:r>
            <w:r>
              <w:rPr>
                <w:rFonts w:hint="eastAsia" w:ascii="仿宋_GB2312" w:eastAsia="仿宋_GB2312"/>
                <w:sz w:val="24"/>
              </w:rPr>
              <w:t>年</w:t>
            </w:r>
          </w:p>
        </w:tc>
        <w:tc>
          <w:tcPr>
            <w:tcW w:w="1843" w:type="dxa"/>
            <w:vAlign w:val="center"/>
          </w:tcPr>
          <w:p>
            <w:pPr>
              <w:spacing w:line="312" w:lineRule="auto"/>
              <w:ind w:firstLine="480" w:firstLineChars="200"/>
              <w:rPr>
                <w:rFonts w:ascii="仿宋_GB2312" w:eastAsia="仿宋_GB2312" w:hAnsiTheme="minorHAnsi" w:cstheme="minorBidi"/>
                <w:kern w:val="2"/>
                <w:sz w:val="24"/>
                <w:szCs w:val="22"/>
                <w:lang w:val="en-US" w:eastAsia="zh-CN" w:bidi="ar-SA"/>
              </w:rPr>
            </w:pPr>
            <w:r>
              <w:rPr>
                <w:rFonts w:hint="eastAsia" w:ascii="仿宋_GB2312" w:eastAsia="仿宋_GB2312"/>
                <w:color w:val="auto"/>
                <w:sz w:val="24"/>
              </w:rPr>
              <w:t>9</w:t>
            </w:r>
            <w:r>
              <w:rPr>
                <w:rFonts w:hint="eastAsia" w:ascii="仿宋_GB2312" w:eastAsia="仿宋_GB2312"/>
                <w:color w:val="auto"/>
                <w:sz w:val="24"/>
                <w:lang w:val="en-US" w:eastAsia="zh-CN"/>
              </w:rPr>
              <w:t>9</w:t>
            </w:r>
            <w:r>
              <w:rPr>
                <w:rFonts w:hint="eastAsia" w:ascii="仿宋_GB2312" w:eastAsia="仿宋_GB2312"/>
                <w:color w:val="auto"/>
                <w:sz w:val="24"/>
              </w:rPr>
              <w:t>.</w:t>
            </w:r>
            <w:r>
              <w:rPr>
                <w:rFonts w:hint="eastAsia" w:ascii="仿宋_GB2312" w:eastAsia="仿宋_GB2312"/>
                <w:color w:val="auto"/>
                <w:sz w:val="24"/>
                <w:lang w:val="en-US" w:eastAsia="zh-CN"/>
              </w:rPr>
              <w:t>12</w:t>
            </w:r>
            <w:r>
              <w:rPr>
                <w:rFonts w:hint="eastAsia" w:ascii="仿宋_GB2312" w:eastAsia="仿宋_GB2312"/>
                <w:color w:val="auto"/>
                <w:sz w:val="24"/>
              </w:rPr>
              <w:t>%</w:t>
            </w:r>
          </w:p>
        </w:tc>
        <w:tc>
          <w:tcPr>
            <w:tcW w:w="1984" w:type="dxa"/>
            <w:vAlign w:val="center"/>
          </w:tcPr>
          <w:p>
            <w:pPr>
              <w:spacing w:line="312" w:lineRule="auto"/>
              <w:ind w:firstLine="480" w:firstLineChars="200"/>
              <w:rPr>
                <w:rFonts w:ascii="仿宋_GB2312" w:eastAsia="仿宋_GB2312" w:hAnsiTheme="minorHAnsi" w:cstheme="minorBidi"/>
                <w:kern w:val="2"/>
                <w:sz w:val="24"/>
                <w:szCs w:val="22"/>
                <w:lang w:val="en-US" w:eastAsia="zh-CN" w:bidi="ar-SA"/>
              </w:rPr>
            </w:pPr>
            <w:r>
              <w:rPr>
                <w:rFonts w:hint="eastAsia" w:ascii="仿宋_GB2312" w:eastAsia="仿宋_GB2312"/>
                <w:color w:val="auto"/>
                <w:sz w:val="24"/>
              </w:rPr>
              <w:t>99.</w:t>
            </w:r>
            <w:r>
              <w:rPr>
                <w:rFonts w:hint="eastAsia" w:ascii="仿宋_GB2312" w:eastAsia="仿宋_GB2312"/>
                <w:color w:val="auto"/>
                <w:sz w:val="24"/>
                <w:lang w:val="en-US" w:eastAsia="zh-CN"/>
              </w:rPr>
              <w:t>86</w:t>
            </w:r>
            <w:r>
              <w:rPr>
                <w:rFonts w:hint="eastAsia" w:ascii="仿宋_GB2312" w:eastAsia="仿宋_GB2312"/>
                <w:color w:val="auto"/>
                <w:sz w:val="24"/>
              </w:rPr>
              <w:t>%</w:t>
            </w:r>
          </w:p>
        </w:tc>
        <w:tc>
          <w:tcPr>
            <w:tcW w:w="2693" w:type="dxa"/>
            <w:vAlign w:val="center"/>
          </w:tcPr>
          <w:p>
            <w:pPr>
              <w:spacing w:line="312" w:lineRule="auto"/>
              <w:ind w:firstLine="0" w:firstLineChars="0"/>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color w:val="auto"/>
                <w:sz w:val="24"/>
              </w:rPr>
              <w:t>3</w:t>
            </w:r>
            <w:r>
              <w:rPr>
                <w:rFonts w:hint="eastAsia" w:ascii="仿宋_GB2312" w:eastAsia="仿宋_GB2312"/>
                <w:color w:val="auto"/>
                <w:sz w:val="24"/>
                <w:lang w:val="en-US" w:eastAsia="zh-CN"/>
              </w:rPr>
              <w:t>550</w:t>
            </w:r>
          </w:p>
        </w:tc>
        <w:tc>
          <w:tcPr>
            <w:tcW w:w="1916" w:type="dxa"/>
            <w:vAlign w:val="center"/>
          </w:tcPr>
          <w:p>
            <w:pPr>
              <w:spacing w:line="312" w:lineRule="auto"/>
              <w:ind w:firstLine="480" w:firstLineChars="200"/>
              <w:rPr>
                <w:rFonts w:ascii="仿宋_GB2312" w:eastAsia="仿宋_GB2312" w:hAnsiTheme="minorHAnsi" w:cstheme="minorBidi"/>
                <w:kern w:val="2"/>
                <w:sz w:val="24"/>
                <w:szCs w:val="22"/>
                <w:lang w:val="en-US" w:eastAsia="zh-CN" w:bidi="ar-SA"/>
              </w:rPr>
            </w:pPr>
            <w:r>
              <w:rPr>
                <w:rFonts w:hint="eastAsia" w:ascii="仿宋_GB2312" w:eastAsia="仿宋_GB2312"/>
                <w:color w:val="auto"/>
                <w:sz w:val="24"/>
                <w:lang w:val="en-US" w:eastAsia="zh-CN"/>
              </w:rPr>
              <w:t>11</w:t>
            </w:r>
            <w:r>
              <w:rPr>
                <w:rFonts w:hint="eastAsia" w:ascii="仿宋_GB2312" w:eastAsia="仿宋_GB2312"/>
                <w:color w:val="auto"/>
                <w:sz w:val="24"/>
              </w:rPr>
              <w:t>.</w:t>
            </w:r>
            <w:r>
              <w:rPr>
                <w:rFonts w:hint="eastAsia" w:ascii="仿宋_GB2312" w:eastAsia="仿宋_GB2312"/>
                <w:color w:val="auto"/>
                <w:sz w:val="24"/>
                <w:lang w:val="en-US" w:eastAsia="zh-CN"/>
              </w:rPr>
              <w:t>24</w:t>
            </w:r>
            <w:r>
              <w:rPr>
                <w:rFonts w:hint="eastAsia" w:ascii="仿宋_GB2312" w:eastAsia="仿宋_GB2312"/>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360" w:lineRule="auto"/>
              <w:ind w:firstLine="0" w:firstLineChars="0"/>
              <w:jc w:val="center"/>
              <w:rPr>
                <w:rFonts w:ascii="仿宋_GB2312" w:eastAsia="仿宋_GB2312"/>
                <w:sz w:val="24"/>
              </w:rPr>
            </w:pPr>
            <w:r>
              <w:rPr>
                <w:rFonts w:hint="eastAsia" w:ascii="仿宋_GB2312" w:eastAsia="仿宋_GB2312"/>
                <w:sz w:val="24"/>
              </w:rPr>
              <w:t>20</w:t>
            </w:r>
            <w:r>
              <w:rPr>
                <w:rFonts w:hint="eastAsia" w:ascii="仿宋_GB2312" w:eastAsia="仿宋_GB2312"/>
                <w:sz w:val="24"/>
                <w:lang w:val="en-US" w:eastAsia="zh-CN"/>
              </w:rPr>
              <w:t>20</w:t>
            </w:r>
            <w:r>
              <w:rPr>
                <w:rFonts w:hint="eastAsia" w:ascii="仿宋_GB2312" w:eastAsia="仿宋_GB2312"/>
                <w:sz w:val="24"/>
              </w:rPr>
              <w:t>年</w:t>
            </w:r>
          </w:p>
        </w:tc>
        <w:tc>
          <w:tcPr>
            <w:tcW w:w="1843" w:type="dxa"/>
            <w:vAlign w:val="center"/>
          </w:tcPr>
          <w:p>
            <w:pPr>
              <w:spacing w:line="312" w:lineRule="auto"/>
              <w:ind w:firstLine="480"/>
              <w:rPr>
                <w:rFonts w:ascii="仿宋_GB2312" w:eastAsia="仿宋_GB2312"/>
                <w:color w:val="auto"/>
                <w:sz w:val="24"/>
                <w:highlight w:val="none"/>
              </w:rPr>
            </w:pPr>
            <w:r>
              <w:rPr>
                <w:rFonts w:hint="eastAsia" w:ascii="仿宋_GB2312" w:eastAsia="仿宋_GB2312"/>
                <w:color w:val="auto"/>
                <w:sz w:val="24"/>
                <w:highlight w:val="none"/>
              </w:rPr>
              <w:t>9</w:t>
            </w:r>
            <w:r>
              <w:rPr>
                <w:rFonts w:hint="eastAsia" w:ascii="仿宋_GB2312" w:eastAsia="仿宋_GB2312"/>
                <w:color w:val="auto"/>
                <w:sz w:val="24"/>
                <w:highlight w:val="none"/>
                <w:lang w:val="en-US" w:eastAsia="zh-CN"/>
              </w:rPr>
              <w:t>9</w:t>
            </w: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22</w:t>
            </w:r>
            <w:r>
              <w:rPr>
                <w:rFonts w:hint="eastAsia" w:ascii="仿宋_GB2312" w:eastAsia="仿宋_GB2312"/>
                <w:color w:val="auto"/>
                <w:sz w:val="24"/>
                <w:highlight w:val="none"/>
              </w:rPr>
              <w:t>%</w:t>
            </w:r>
          </w:p>
        </w:tc>
        <w:tc>
          <w:tcPr>
            <w:tcW w:w="1984" w:type="dxa"/>
            <w:vAlign w:val="center"/>
          </w:tcPr>
          <w:p>
            <w:pPr>
              <w:spacing w:line="312" w:lineRule="auto"/>
              <w:ind w:firstLine="480"/>
              <w:rPr>
                <w:rFonts w:ascii="仿宋_GB2312" w:eastAsia="仿宋_GB2312"/>
                <w:color w:val="auto"/>
                <w:sz w:val="24"/>
                <w:highlight w:val="none"/>
              </w:rPr>
            </w:pPr>
            <w:r>
              <w:rPr>
                <w:rFonts w:hint="eastAsia" w:ascii="仿宋_GB2312" w:eastAsia="仿宋_GB2312"/>
                <w:color w:val="auto"/>
                <w:sz w:val="24"/>
                <w:highlight w:val="none"/>
              </w:rPr>
              <w:t>99.</w:t>
            </w:r>
            <w:r>
              <w:rPr>
                <w:rFonts w:hint="eastAsia" w:ascii="仿宋_GB2312" w:eastAsia="仿宋_GB2312"/>
                <w:color w:val="auto"/>
                <w:sz w:val="24"/>
                <w:highlight w:val="none"/>
                <w:lang w:val="en-US" w:eastAsia="zh-CN"/>
              </w:rPr>
              <w:t>86</w:t>
            </w:r>
            <w:r>
              <w:rPr>
                <w:rFonts w:hint="eastAsia" w:ascii="仿宋_GB2312" w:eastAsia="仿宋_GB2312"/>
                <w:color w:val="auto"/>
                <w:sz w:val="24"/>
                <w:highlight w:val="none"/>
              </w:rPr>
              <w:t>%</w:t>
            </w:r>
          </w:p>
        </w:tc>
        <w:tc>
          <w:tcPr>
            <w:tcW w:w="2693" w:type="dxa"/>
            <w:vAlign w:val="center"/>
          </w:tcPr>
          <w:p>
            <w:pPr>
              <w:spacing w:line="312" w:lineRule="auto"/>
              <w:ind w:firstLine="0" w:firstLineChars="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rPr>
              <w:t>3</w:t>
            </w:r>
            <w:r>
              <w:rPr>
                <w:rFonts w:hint="eastAsia" w:ascii="仿宋_GB2312" w:eastAsia="仿宋_GB2312"/>
                <w:color w:val="auto"/>
                <w:sz w:val="24"/>
                <w:highlight w:val="none"/>
                <w:lang w:val="en-US" w:eastAsia="zh-CN"/>
              </w:rPr>
              <w:t>570</w:t>
            </w:r>
          </w:p>
        </w:tc>
        <w:tc>
          <w:tcPr>
            <w:tcW w:w="1916" w:type="dxa"/>
            <w:vAlign w:val="center"/>
          </w:tcPr>
          <w:p>
            <w:pPr>
              <w:spacing w:line="312" w:lineRule="auto"/>
              <w:ind w:firstLine="480"/>
              <w:rPr>
                <w:rFonts w:ascii="仿宋_GB2312" w:eastAsia="仿宋_GB2312"/>
                <w:color w:val="auto"/>
                <w:sz w:val="24"/>
                <w:highlight w:val="none"/>
              </w:rPr>
            </w:pPr>
            <w:r>
              <w:rPr>
                <w:rFonts w:hint="eastAsia" w:ascii="仿宋_GB2312" w:eastAsia="仿宋_GB2312"/>
                <w:color w:val="auto"/>
                <w:sz w:val="24"/>
                <w:highlight w:val="none"/>
                <w:lang w:val="en-US" w:eastAsia="zh-CN"/>
              </w:rPr>
              <w:t>8</w:t>
            </w: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24</w:t>
            </w:r>
            <w:r>
              <w:rPr>
                <w:rFonts w:hint="eastAsia" w:ascii="仿宋_GB2312" w:eastAsia="仿宋_GB2312"/>
                <w:color w:val="auto"/>
                <w:sz w:val="24"/>
                <w:highlight w:val="none"/>
              </w:rPr>
              <w:t>%</w:t>
            </w:r>
          </w:p>
        </w:tc>
      </w:tr>
    </w:tbl>
    <w:p>
      <w:pPr>
        <w:pStyle w:val="3"/>
        <w:spacing w:line="360" w:lineRule="auto"/>
        <w:ind w:firstLine="422"/>
      </w:pPr>
      <w:bookmarkStart w:id="24" w:name="_Toc7609"/>
      <w:bookmarkStart w:id="25" w:name="_Toc503883828"/>
      <w:r>
        <w:rPr>
          <w:rFonts w:hint="eastAsia"/>
        </w:rPr>
        <w:t>（五）职业发展</w:t>
      </w:r>
      <w:bookmarkEnd w:id="24"/>
      <w:bookmarkEnd w:id="25"/>
    </w:p>
    <w:p>
      <w:pPr>
        <w:spacing w:line="360" w:lineRule="auto"/>
        <w:ind w:firstLine="560"/>
      </w:pPr>
      <w:r>
        <w:rPr>
          <w:rFonts w:hint="eastAsia"/>
        </w:rPr>
        <w:t>我校中专学生所学专业皆为信息技术类，加之目前互联网技术日益广泛成熟，社会对电脑技术方向人才需求也越来越多，且大多企业都能提供很好的企业发展平台，工作环境、福利待遇也相当不错，所以我校学生皆能对口就业。</w:t>
      </w:r>
      <w:bookmarkStart w:id="26" w:name="_Toc503883829"/>
      <w:r>
        <w:rPr>
          <w:rFonts w:hint="eastAsia"/>
        </w:rPr>
        <w:t>与此同时，加大加强就业宣传力度，引进更多优质企业，确保学生稳妥就业。</w:t>
      </w:r>
    </w:p>
    <w:p>
      <w:pPr>
        <w:pStyle w:val="2"/>
        <w:ind w:firstLine="562"/>
      </w:pPr>
      <w:bookmarkStart w:id="27" w:name="_Toc30324"/>
      <w:r>
        <w:rPr>
          <w:rFonts w:hint="eastAsia"/>
        </w:rPr>
        <w:t>三、质量保障措施</w:t>
      </w:r>
      <w:bookmarkEnd w:id="26"/>
      <w:bookmarkEnd w:id="27"/>
    </w:p>
    <w:p>
      <w:pPr>
        <w:pStyle w:val="3"/>
        <w:spacing w:line="360" w:lineRule="auto"/>
        <w:ind w:firstLine="422"/>
      </w:pPr>
      <w:bookmarkStart w:id="28" w:name="_Toc503883830"/>
      <w:bookmarkStart w:id="29" w:name="_Toc24895"/>
      <w:r>
        <w:rPr>
          <w:rFonts w:hint="eastAsia"/>
        </w:rPr>
        <w:t>（一）专业动态调整</w:t>
      </w:r>
      <w:bookmarkEnd w:id="28"/>
      <w:bookmarkEnd w:id="29"/>
    </w:p>
    <w:p>
      <w:pPr>
        <w:spacing w:line="360" w:lineRule="auto"/>
        <w:ind w:firstLine="560"/>
      </w:pPr>
      <w:r>
        <w:rPr>
          <w:rFonts w:hint="eastAsia"/>
        </w:rPr>
        <w:t>学校树立“专业立校”思想，确立了“以专业建设为引领，注重质量建设和品牌发展”的专业建设方向，顺应互联网时代发展潮流，目前设立建筑装饰、电子商务、计算机动漫与游戏制作、中餐烹饪、汽车运用与维修工五个专业，良好的办学模式和优异的教学质量得到了社会各界的一致认可和良好评价。</w:t>
      </w:r>
    </w:p>
    <w:p>
      <w:pPr>
        <w:pStyle w:val="3"/>
        <w:spacing w:line="360" w:lineRule="auto"/>
        <w:ind w:firstLine="422"/>
      </w:pPr>
      <w:bookmarkStart w:id="30" w:name="_Toc503883831"/>
      <w:bookmarkStart w:id="31" w:name="_Toc6749"/>
      <w:r>
        <w:rPr>
          <w:rFonts w:hint="eastAsia"/>
        </w:rPr>
        <w:t>（二）教育教学改革</w:t>
      </w:r>
      <w:bookmarkEnd w:id="30"/>
      <w:bookmarkEnd w:id="31"/>
      <w:bookmarkStart w:id="32" w:name="_Toc503883832"/>
    </w:p>
    <w:p>
      <w:pPr>
        <w:spacing w:line="360" w:lineRule="auto"/>
        <w:ind w:firstLine="560"/>
        <w:rPr>
          <w:rFonts w:asciiTheme="majorHAnsi" w:hAnsiTheme="majorHAnsi" w:eastAsiaTheme="majorEastAsia" w:cstheme="majorBidi"/>
          <w:b/>
          <w:bCs/>
          <w:szCs w:val="32"/>
        </w:rPr>
      </w:pPr>
      <w:r>
        <w:rPr>
          <w:rFonts w:hint="eastAsia"/>
          <w:bCs/>
        </w:rPr>
        <w:t>学校积极进行教育教学改革创新，</w:t>
      </w:r>
      <w:r>
        <w:rPr>
          <w:rFonts w:hint="eastAsia"/>
        </w:rPr>
        <w:t>集团独创的“新任务驱动式—五步教学法＋项目实战计划”及“二元管理模式”得到了清华大学谭浩强教授、教育专家教授吴芸、北京师范大学李德芳院长等知名学术界专家的充分肯定和高度评价，被誉为计算机教育领域的一次革命。</w:t>
      </w:r>
    </w:p>
    <w:p>
      <w:pPr>
        <w:pStyle w:val="3"/>
        <w:spacing w:line="360" w:lineRule="auto"/>
        <w:ind w:firstLine="422"/>
      </w:pPr>
      <w:bookmarkStart w:id="33" w:name="_Toc14648"/>
      <w:r>
        <w:rPr>
          <w:rFonts w:hint="eastAsia"/>
        </w:rPr>
        <w:t>（三）教师培养培训</w:t>
      </w:r>
      <w:bookmarkEnd w:id="32"/>
      <w:bookmarkEnd w:id="33"/>
    </w:p>
    <w:p>
      <w:pPr>
        <w:spacing w:line="360" w:lineRule="auto"/>
        <w:ind w:firstLine="560"/>
        <w:rPr>
          <w:b/>
          <w:bCs/>
        </w:rPr>
      </w:pPr>
      <w:bookmarkStart w:id="34" w:name="_Toc503883833"/>
      <w:r>
        <w:rPr>
          <w:rFonts w:hint="eastAsia"/>
        </w:rPr>
        <w:t>组织学习“新五步教学法”等先进教学方式，认真领悟、实践，并纳入教师考评</w:t>
      </w:r>
      <w:r>
        <w:rPr>
          <w:rFonts w:hint="eastAsia"/>
          <w:bCs/>
        </w:rPr>
        <w:t>，同时，</w:t>
      </w:r>
      <w:r>
        <w:rPr>
          <w:rFonts w:hint="eastAsia"/>
        </w:rPr>
        <w:t>学校为在校教师提供公费专业认证学习，提高专业素质，目前与中国软件专业人才培养工程职业教育管理办公室、中国希望软件股份有限公司Corel中国教育认证管理中心、奥多比（Adobe）公司中国区、苹果电脑（中国）有限公司等建立教师培养计划，经常选派我校优秀教师前往参加培训，并获得认证，丰富了教师专业知识，提高了学校教学质量。</w:t>
      </w:r>
    </w:p>
    <w:p>
      <w:pPr>
        <w:pStyle w:val="3"/>
        <w:spacing w:line="360" w:lineRule="auto"/>
        <w:ind w:firstLine="422"/>
      </w:pPr>
      <w:bookmarkStart w:id="35" w:name="_Toc6643"/>
      <w:r>
        <w:rPr>
          <w:rFonts w:hint="eastAsia"/>
        </w:rPr>
        <w:t>（四） 规范管理情况</w:t>
      </w:r>
      <w:bookmarkEnd w:id="34"/>
      <w:bookmarkEnd w:id="35"/>
    </w:p>
    <w:p>
      <w:pPr>
        <w:spacing w:line="360" w:lineRule="auto"/>
        <w:ind w:firstLine="560"/>
      </w:pPr>
      <w:bookmarkStart w:id="36" w:name="_Toc503883834"/>
      <w:r>
        <w:rPr>
          <w:rFonts w:hint="eastAsia"/>
        </w:rPr>
        <w:t>郑州新华拥有一支高素质的管理队伍，我们的管理人员多年从事中等职业教育管理工作，熟悉中等职业教育的教学和管理，有较高的理论素养和实践经验。学校机构设置健全，下设教务处、学生处、中共党支部、团委、创就业指导中心、考试考证管理部、大学生网络中心、校企合作中心、学籍科、资助管理办、学生服务中心等十多个教学、管理和服务部门，为教学管理各方面工作有效、正常的开展奠定了坚实的基础。</w:t>
      </w:r>
    </w:p>
    <w:p>
      <w:pPr>
        <w:spacing w:line="360" w:lineRule="auto"/>
        <w:ind w:firstLine="560"/>
        <w:rPr>
          <w:b/>
          <w:bCs/>
        </w:rPr>
      </w:pPr>
      <w:r>
        <w:rPr>
          <w:rFonts w:hint="eastAsia"/>
        </w:rPr>
        <w:t>学校实行董事会领导下的校长负责制，学校校长和财务负责人由董事会任免。其余人员由董事会授权校长任免。学校领导班子素质较高，在实施校长负责制下，实行“集中决策，分工负责”原则，学校机构设置合理，各部门都建立了严格的岗位责任制，并严格依照制度、按计划办事，管理高效。保证学校各项教育教学工作顺利开展，保证学校的各项事业取得长足进步。</w:t>
      </w:r>
    </w:p>
    <w:p>
      <w:pPr>
        <w:pStyle w:val="3"/>
        <w:spacing w:line="360" w:lineRule="auto"/>
        <w:ind w:firstLine="422"/>
      </w:pPr>
      <w:bookmarkStart w:id="37" w:name="_Toc11275"/>
      <w:r>
        <w:rPr>
          <w:rFonts w:hint="eastAsia"/>
        </w:rPr>
        <w:t>（五） 德育工作情况</w:t>
      </w:r>
      <w:bookmarkEnd w:id="36"/>
      <w:bookmarkEnd w:id="37"/>
    </w:p>
    <w:p>
      <w:pPr>
        <w:spacing w:line="360" w:lineRule="auto"/>
        <w:ind w:firstLine="560"/>
      </w:pPr>
      <w:r>
        <w:rPr>
          <w:rFonts w:hint="eastAsia"/>
        </w:rPr>
        <w:t>郑州新华始终坚持教育的根本宗旨是促进每一个学生的全面发展，树立学生探求真理的勇气和信心，培养学生探求真理的方法和途径。学校教育为他们终身学习打好基础，为他们走向社会奠定基础，努力把他们培养成技能过硬，素质超群的专业技术人才。我校每年举办IT数字文化艺术节、各专业技能比赛、体育竞技比赛、演讲比赛、卡拉OK大赛、主持人大赛、五一晚会等活动。与此同时还积极组织学生参加快乐大冲关、华豫之门等节目录制，提高学生专业技能的同时，丰富了学生的业余生活。在校团委领导下，先后成立了学生会、新华之声广播站、图书协会、国旗班、舞蹈协会、篮球协会、太极社、动漫社等十多个社团组织，使学生德、智、体等综合素质得到了很大提高。</w:t>
      </w:r>
    </w:p>
    <w:p>
      <w:pPr>
        <w:pStyle w:val="3"/>
        <w:spacing w:line="360" w:lineRule="auto"/>
        <w:ind w:firstLine="422"/>
      </w:pPr>
      <w:bookmarkStart w:id="38" w:name="_Toc21596"/>
      <w:bookmarkStart w:id="39" w:name="_Toc503883835"/>
      <w:r>
        <w:rPr>
          <w:rFonts w:hint="eastAsia"/>
        </w:rPr>
        <w:t>（六）党建情况</w:t>
      </w:r>
      <w:bookmarkEnd w:id="38"/>
      <w:bookmarkEnd w:id="39"/>
    </w:p>
    <w:p>
      <w:pPr>
        <w:spacing w:line="360" w:lineRule="auto"/>
        <w:ind w:firstLine="560"/>
        <w:rPr>
          <w:b/>
          <w:bCs/>
        </w:rPr>
      </w:pPr>
      <w:bookmarkStart w:id="40" w:name="_Toc503883836"/>
      <w:r>
        <w:rPr>
          <w:rFonts w:hint="eastAsia"/>
        </w:rPr>
        <w:t>我校党支部成立于2014年11月，隶属中共中原区须水街道委员会，设委员5名，其中书记1名，副书记1名。党支部大力，积极做好发展党员的宣传工作，动员和鼓励一批思想觉悟高，工作能力强的年轻教师和部分学习态度端正的学生加入入党积极分子的行列，并及时做好这些积极分子的考察工作。切实落实和完善 “三会一课”制度，民主评议制度，民主生活会制度等党内制度，这些制度的落实和完善，使得我校党支部管理工作进一步提升，并且定期召开支部党员大会、支部委员会、党小组会，按时上好党课，严格执行党支部制定的“三会一课”制度，并认真做好“四薄三册”的记录和填写工作。</w:t>
      </w:r>
    </w:p>
    <w:p>
      <w:pPr>
        <w:pStyle w:val="2"/>
        <w:spacing w:line="360" w:lineRule="auto"/>
        <w:ind w:firstLine="562"/>
      </w:pPr>
      <w:bookmarkStart w:id="41" w:name="_Toc3410"/>
      <w:r>
        <w:rPr>
          <w:rFonts w:hint="eastAsia"/>
        </w:rPr>
        <w:t>四、校企合作</w:t>
      </w:r>
      <w:bookmarkEnd w:id="40"/>
      <w:bookmarkEnd w:id="41"/>
    </w:p>
    <w:p>
      <w:pPr>
        <w:pStyle w:val="3"/>
        <w:spacing w:line="360" w:lineRule="auto"/>
        <w:ind w:firstLine="422"/>
      </w:pPr>
      <w:bookmarkStart w:id="42" w:name="_Toc503883837"/>
      <w:bookmarkStart w:id="43" w:name="_Toc9125"/>
      <w:r>
        <w:rPr>
          <w:rFonts w:hint="eastAsia"/>
        </w:rPr>
        <w:t>（一）校企合作开展情况和效果</w:t>
      </w:r>
      <w:bookmarkEnd w:id="42"/>
      <w:bookmarkEnd w:id="43"/>
    </w:p>
    <w:p>
      <w:pPr>
        <w:spacing w:line="360" w:lineRule="auto"/>
        <w:ind w:firstLine="560"/>
      </w:pPr>
      <w:r>
        <w:rPr>
          <w:rFonts w:hint="eastAsia"/>
        </w:rPr>
        <w:t>为彻底解决学生就业问题，2008年底郑州新华开始筹建校内实训、实习基地，让学生感受真实的企业环境、在体验中学习，在工作的过程中学习。这样学生毕业后不仅具有完备的技能，更主要的是具有了一定的工作经验。通过项目实训切实解决学生实际动手能力和就业竞争力。学校引进郑州启凡计算机软件有限公司、郑州惊喜设计工作室、郑州九创装饰设计工程有限公司、河南南方装饰设计工程有限公司等多家公司入驻新华IT产业园。201</w:t>
      </w:r>
      <w:r>
        <w:rPr>
          <w:rFonts w:hint="eastAsia"/>
          <w:lang w:val="en-US" w:eastAsia="zh-CN"/>
        </w:rPr>
        <w:t>7</w:t>
      </w:r>
      <w:r>
        <w:rPr>
          <w:rFonts w:hint="eastAsia"/>
        </w:rPr>
        <w:t>年学校新华IT产业园升级为互联网创业园，进一步深化校企合作，培养优秀的创就业人才。</w:t>
      </w:r>
    </w:p>
    <w:p>
      <w:pPr>
        <w:pStyle w:val="3"/>
        <w:numPr>
          <w:ilvl w:val="0"/>
          <w:numId w:val="1"/>
        </w:numPr>
        <w:spacing w:line="360" w:lineRule="auto"/>
        <w:ind w:firstLine="422"/>
        <w:rPr>
          <w:rFonts w:hint="eastAsia"/>
        </w:rPr>
      </w:pPr>
      <w:bookmarkStart w:id="44" w:name="_Toc503883839"/>
      <w:bookmarkStart w:id="45" w:name="_Toc22587"/>
      <w:r>
        <w:rPr>
          <w:rFonts w:hint="eastAsia"/>
          <w:lang w:val="en-US" w:eastAsia="zh-CN"/>
        </w:rPr>
        <w:t>学生实习</w:t>
      </w:r>
      <w:r>
        <w:rPr>
          <w:rFonts w:hint="eastAsia"/>
        </w:rPr>
        <w:t>情况</w:t>
      </w:r>
      <w:bookmarkEnd w:id="44"/>
      <w:bookmarkEnd w:id="45"/>
    </w:p>
    <w:p>
      <w:pPr>
        <w:spacing w:line="360" w:lineRule="auto"/>
        <w:ind w:firstLine="560"/>
        <w:rPr>
          <w:rFonts w:hint="default"/>
          <w:lang w:val="en-US" w:eastAsia="zh-CN"/>
        </w:rPr>
      </w:pPr>
      <w:r>
        <w:rPr>
          <w:rFonts w:hint="eastAsia"/>
          <w:lang w:val="en-US" w:eastAsia="zh-CN"/>
        </w:rPr>
        <w:t>为更好的做好校园与社会衔接，让学生能快速上岗，早日成为企业骨干，我校所有准毕业生要进行完善的校内实训，在真实的企业环境里承接项目，积累经验；同时也会经就业办安排进企业实习，签订完善的实习协议，并在实习过程中做好监督及帮扶工作，学生对口实习率100%，企业录用率95%，企业对学生的满意度98%。</w:t>
      </w:r>
    </w:p>
    <w:p>
      <w:pPr>
        <w:pStyle w:val="3"/>
        <w:numPr>
          <w:ilvl w:val="0"/>
          <w:numId w:val="1"/>
        </w:numPr>
        <w:spacing w:line="360" w:lineRule="auto"/>
        <w:ind w:firstLine="422"/>
      </w:pPr>
      <w:bookmarkStart w:id="46" w:name="_Toc25142"/>
      <w:r>
        <w:rPr>
          <w:rFonts w:hint="eastAsia"/>
        </w:rPr>
        <w:t>集团化办学情况</w:t>
      </w:r>
      <w:bookmarkEnd w:id="46"/>
    </w:p>
    <w:p>
      <w:pPr>
        <w:spacing w:line="360" w:lineRule="auto"/>
        <w:ind w:firstLine="560"/>
      </w:pPr>
      <w:r>
        <w:rPr>
          <w:rFonts w:hint="eastAsia"/>
        </w:rPr>
        <w:t>郑州新华中等专业学校隶属于新华教育集团，新华教育集团始建于1988年，30年来，新华教育集团始终遵照党的教育方针、政策，以服务经济发展、满足社会需求为导向，以振兴国家，振兴教育为己任，把“新华教育，兴教报国”作为办学的崇高理想。新华教育集团在北京、上海、重庆、河南、河北、山东、四川、安徽、江苏、湖南等30个省市建立了108所院校，教育集团旗下拥有“新华互联网科技”、“新东方烹饪教育”、“万通汽车教育”、“宇星驾校”、“华信智原”、 “欧米奇西点学校”六大职业教育品牌，形成了覆盖全国的多层次、多学科、多专业、多边合作的新华教育办学格局。</w:t>
      </w:r>
    </w:p>
    <w:p>
      <w:pPr>
        <w:pStyle w:val="2"/>
        <w:spacing w:line="360" w:lineRule="auto"/>
        <w:ind w:firstLine="562"/>
      </w:pPr>
      <w:bookmarkStart w:id="47" w:name="_Toc25021"/>
      <w:bookmarkStart w:id="48" w:name="_Toc503883840"/>
      <w:r>
        <w:rPr>
          <w:rFonts w:hint="eastAsia"/>
        </w:rPr>
        <w:t>五、社会贡献</w:t>
      </w:r>
      <w:bookmarkEnd w:id="47"/>
      <w:bookmarkEnd w:id="48"/>
    </w:p>
    <w:p>
      <w:pPr>
        <w:pStyle w:val="3"/>
        <w:spacing w:line="360" w:lineRule="auto"/>
        <w:ind w:firstLine="422"/>
      </w:pPr>
      <w:bookmarkStart w:id="49" w:name="_Toc503883841"/>
      <w:bookmarkStart w:id="50" w:name="_Toc3250"/>
      <w:r>
        <w:rPr>
          <w:rFonts w:hint="eastAsia"/>
        </w:rPr>
        <w:t>（一）技术技能人才培养</w:t>
      </w:r>
      <w:bookmarkEnd w:id="49"/>
      <w:bookmarkEnd w:id="50"/>
    </w:p>
    <w:p>
      <w:pPr>
        <w:spacing w:line="360" w:lineRule="auto"/>
        <w:ind w:firstLine="560"/>
      </w:pPr>
      <w:r>
        <w:rPr>
          <w:rFonts w:hint="eastAsia"/>
        </w:rPr>
        <w:t>郑州新华一直是河南区域高技能人才成长的摇篮，源源不断的向社会输入优秀人才，在今年开展的合作企业走访调查中，企业对我校毕业生满意度为100%。</w:t>
      </w:r>
    </w:p>
    <w:p>
      <w:pPr>
        <w:pStyle w:val="3"/>
        <w:numPr>
          <w:ilvl w:val="0"/>
          <w:numId w:val="2"/>
        </w:numPr>
        <w:spacing w:line="360" w:lineRule="auto"/>
        <w:ind w:firstLine="422"/>
        <w:rPr>
          <w:rFonts w:hint="eastAsia"/>
        </w:rPr>
      </w:pPr>
      <w:bookmarkStart w:id="51" w:name="_Toc503883843"/>
      <w:bookmarkStart w:id="52" w:name="_Toc18791"/>
      <w:r>
        <w:rPr>
          <w:rFonts w:hint="eastAsia"/>
          <w:lang w:val="en-US" w:eastAsia="zh-CN"/>
        </w:rPr>
        <w:t>社会服务</w:t>
      </w:r>
      <w:bookmarkEnd w:id="51"/>
      <w:bookmarkEnd w:id="52"/>
    </w:p>
    <w:p>
      <w:pPr>
        <w:spacing w:line="360" w:lineRule="auto"/>
        <w:rPr>
          <w:rFonts w:hint="default" w:eastAsiaTheme="minorEastAsia"/>
          <w:lang w:val="en-US" w:eastAsia="zh-CN"/>
        </w:rPr>
      </w:pPr>
      <w:r>
        <w:rPr>
          <w:rFonts w:hint="eastAsia"/>
          <w:lang w:val="en-US" w:eastAsia="zh-CN"/>
        </w:rPr>
        <w:t>我校一直积极做好各种社会服务工作，积极承接退伍军人再培训</w:t>
      </w:r>
      <w:r>
        <w:rPr>
          <w:rFonts w:hint="eastAsia"/>
        </w:rPr>
        <w:t>、</w:t>
      </w:r>
      <w:r>
        <w:rPr>
          <w:rFonts w:hint="eastAsia"/>
          <w:lang w:val="en-US" w:eastAsia="zh-CN"/>
        </w:rPr>
        <w:t>农民工上岗培训等，为社会做出应有的贡献。</w:t>
      </w:r>
    </w:p>
    <w:p>
      <w:pPr>
        <w:pStyle w:val="3"/>
        <w:numPr>
          <w:ilvl w:val="0"/>
          <w:numId w:val="2"/>
        </w:numPr>
        <w:spacing w:line="360" w:lineRule="auto"/>
        <w:ind w:firstLine="422"/>
      </w:pPr>
      <w:bookmarkStart w:id="53" w:name="_Toc27641"/>
      <w:r>
        <w:rPr>
          <w:rFonts w:hint="eastAsia"/>
        </w:rPr>
        <w:t>对口支援</w:t>
      </w:r>
      <w:bookmarkEnd w:id="53"/>
    </w:p>
    <w:p>
      <w:pPr>
        <w:spacing w:line="360" w:lineRule="auto"/>
        <w:ind w:firstLine="560"/>
      </w:pPr>
      <w:bookmarkStart w:id="54" w:name="_Toc503883844"/>
      <w:r>
        <w:rPr>
          <w:rFonts w:hint="eastAsia"/>
        </w:rPr>
        <w:t>2016年，我校被郑州市中原区人力资源与社会保障局评选为“农村劳动力转移就业定点培训机构”。</w:t>
      </w:r>
    </w:p>
    <w:p>
      <w:pPr>
        <w:pStyle w:val="2"/>
        <w:spacing w:line="360" w:lineRule="auto"/>
        <w:ind w:firstLine="562"/>
      </w:pPr>
      <w:bookmarkStart w:id="55" w:name="_Toc1508"/>
      <w:r>
        <w:rPr>
          <w:rFonts w:hint="eastAsia"/>
        </w:rPr>
        <w:t>六、举办者履责</w:t>
      </w:r>
      <w:bookmarkEnd w:id="54"/>
      <w:bookmarkEnd w:id="55"/>
    </w:p>
    <w:p>
      <w:pPr>
        <w:pStyle w:val="3"/>
        <w:spacing w:line="360" w:lineRule="auto"/>
        <w:ind w:firstLine="422"/>
      </w:pPr>
      <w:bookmarkStart w:id="56" w:name="_Toc20525"/>
      <w:bookmarkStart w:id="57" w:name="_Toc503883845"/>
      <w:r>
        <w:rPr>
          <w:rFonts w:hint="eastAsia"/>
        </w:rPr>
        <w:t>（一）经费</w:t>
      </w:r>
      <w:bookmarkEnd w:id="56"/>
      <w:bookmarkEnd w:id="57"/>
    </w:p>
    <w:p>
      <w:pPr>
        <w:spacing w:line="360" w:lineRule="auto"/>
        <w:ind w:firstLine="560"/>
      </w:pPr>
      <w:bookmarkStart w:id="58" w:name="_Toc503883846"/>
      <w:r>
        <w:rPr>
          <w:rFonts w:hint="eastAsia"/>
        </w:rPr>
        <w:t>学校所有资金都来自安徽新华教育集团有限公司出资，自负盈亏，各种收支有明确的记录，安排有专人负责采购，专人负责保管，岗位职责明确、健全。</w:t>
      </w:r>
    </w:p>
    <w:p>
      <w:pPr>
        <w:pStyle w:val="3"/>
        <w:spacing w:line="360" w:lineRule="auto"/>
        <w:ind w:firstLine="422"/>
      </w:pPr>
      <w:bookmarkStart w:id="59" w:name="_Toc4712"/>
      <w:r>
        <w:rPr>
          <w:rFonts w:hint="eastAsia"/>
        </w:rPr>
        <w:t>（二）政策措施</w:t>
      </w:r>
      <w:bookmarkEnd w:id="58"/>
      <w:bookmarkEnd w:id="59"/>
    </w:p>
    <w:p>
      <w:pPr>
        <w:spacing w:line="360" w:lineRule="auto"/>
        <w:ind w:firstLine="560"/>
      </w:pPr>
      <w:r>
        <w:rPr>
          <w:rFonts w:hint="eastAsia"/>
        </w:rPr>
        <w:t>我校在校企合作工作方面颇为先进，深受郑州市教育局好评，得到了郑州市教育局的鼎力支持，2016年被郑州市教育局被评为“校企合作先进单位”，并给予十万元现金奖励。</w:t>
      </w:r>
    </w:p>
    <w:p>
      <w:pPr>
        <w:pStyle w:val="2"/>
        <w:spacing w:line="360" w:lineRule="auto"/>
        <w:ind w:firstLine="562"/>
      </w:pPr>
      <w:bookmarkStart w:id="60" w:name="_Toc27877"/>
      <w:bookmarkStart w:id="61" w:name="_Toc503883847"/>
      <w:r>
        <w:rPr>
          <w:rFonts w:hint="eastAsia"/>
        </w:rPr>
        <w:t>七、特色创新</w:t>
      </w:r>
      <w:bookmarkEnd w:id="60"/>
      <w:bookmarkEnd w:id="61"/>
    </w:p>
    <w:p>
      <w:pPr>
        <w:spacing w:line="360" w:lineRule="auto"/>
        <w:ind w:firstLine="560"/>
        <w:rPr>
          <w:rFonts w:asciiTheme="majorHAnsi" w:hAnsiTheme="majorHAnsi" w:eastAsiaTheme="majorEastAsia" w:cstheme="majorBidi"/>
          <w:b/>
          <w:bCs/>
          <w:szCs w:val="32"/>
        </w:rPr>
      </w:pPr>
      <w:bookmarkStart w:id="62" w:name="_Toc503883848"/>
      <w:r>
        <w:rPr>
          <w:rFonts w:hint="eastAsia"/>
          <w:bCs/>
        </w:rPr>
        <w:t>学校积极进行教育教学改革创新，</w:t>
      </w:r>
      <w:r>
        <w:rPr>
          <w:rFonts w:hint="eastAsia"/>
        </w:rPr>
        <w:t>集团独创的“新任务驱动式—五步教学法＋项目实战计划”及“二元管理模式”得到了清华大学谭浩强教授、教育专家教授吴芸、北京师范大学李德芳院长等知名学术界专家的充分肯定和高度评价，被誉为计算机教育领域的一次革命。</w:t>
      </w:r>
    </w:p>
    <w:p>
      <w:pPr>
        <w:pStyle w:val="2"/>
        <w:spacing w:line="360" w:lineRule="auto"/>
        <w:ind w:firstLine="562"/>
      </w:pPr>
      <w:bookmarkStart w:id="63" w:name="_Toc11415"/>
      <w:r>
        <w:rPr>
          <w:rFonts w:hint="eastAsia"/>
        </w:rPr>
        <w:t>八、主要问题和改进措施</w:t>
      </w:r>
      <w:bookmarkEnd w:id="62"/>
      <w:bookmarkEnd w:id="63"/>
    </w:p>
    <w:p>
      <w:pPr>
        <w:spacing w:line="360" w:lineRule="auto"/>
        <w:ind w:firstLine="560"/>
      </w:pPr>
      <w:r>
        <w:rPr>
          <w:rFonts w:hint="eastAsia"/>
        </w:rPr>
        <w:t>教师技术服务能力尚需继续提高。随着校企合作日益紧密，现有教师技术服务能力的短板日趋明显，事实上，教师已经在努力克服专业上的局限了，解决这个问题恐怕还得从政策导向、机制创新上寻求突破。</w:t>
      </w:r>
    </w:p>
    <w:p/>
    <w:sectPr>
      <w:headerReference r:id="rId9" w:type="default"/>
      <w:footerReference r:id="rId10" w:type="default"/>
      <w:pgSz w:w="11906" w:h="16838"/>
      <w:pgMar w:top="1440" w:right="1080" w:bottom="1440" w:left="1080" w:header="851" w:footer="992" w:gutter="0"/>
      <w:pgNumType w:start="1"/>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p>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6541352"/>
      <w:docPartObj>
        <w:docPartGallery w:val="autotext"/>
      </w:docPartObj>
    </w:sdtPr>
    <w:sdtEndPr>
      <w:rPr>
        <w:lang w:val="zh-CN"/>
      </w:rPr>
    </w:sdtEndPr>
    <w:sdtContent>
      <w:p>
        <w:pPr>
          <w:pStyle w:val="10"/>
          <w:ind w:firstLine="360"/>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1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9E37A7"/>
    <w:multiLevelType w:val="singleLevel"/>
    <w:tmpl w:val="849E37A7"/>
    <w:lvl w:ilvl="0" w:tentative="0">
      <w:start w:val="2"/>
      <w:numFmt w:val="chineseCounting"/>
      <w:suff w:val="nothing"/>
      <w:lvlText w:val="（%1）"/>
      <w:lvlJc w:val="left"/>
      <w:rPr>
        <w:rFonts w:hint="eastAsia"/>
      </w:rPr>
    </w:lvl>
  </w:abstractNum>
  <w:abstractNum w:abstractNumId="1">
    <w:nsid w:val="E515AF6A"/>
    <w:multiLevelType w:val="singleLevel"/>
    <w:tmpl w:val="E515AF6A"/>
    <w:lvl w:ilvl="0" w:tentative="0">
      <w:start w:val="2"/>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F67"/>
    <w:rsid w:val="0000774F"/>
    <w:rsid w:val="000102B2"/>
    <w:rsid w:val="00023EDA"/>
    <w:rsid w:val="00062094"/>
    <w:rsid w:val="00082DAE"/>
    <w:rsid w:val="00085FA0"/>
    <w:rsid w:val="0009291A"/>
    <w:rsid w:val="000B1264"/>
    <w:rsid w:val="000E1F6D"/>
    <w:rsid w:val="00107B7D"/>
    <w:rsid w:val="001345FD"/>
    <w:rsid w:val="00160B72"/>
    <w:rsid w:val="00172AD8"/>
    <w:rsid w:val="001A71FA"/>
    <w:rsid w:val="001E3340"/>
    <w:rsid w:val="00206099"/>
    <w:rsid w:val="0021664F"/>
    <w:rsid w:val="002568CE"/>
    <w:rsid w:val="00267E4C"/>
    <w:rsid w:val="00274DB2"/>
    <w:rsid w:val="002A3B68"/>
    <w:rsid w:val="002E6B9E"/>
    <w:rsid w:val="00306938"/>
    <w:rsid w:val="003D508C"/>
    <w:rsid w:val="003E14E9"/>
    <w:rsid w:val="003F746F"/>
    <w:rsid w:val="0044391D"/>
    <w:rsid w:val="0046312E"/>
    <w:rsid w:val="00482F45"/>
    <w:rsid w:val="00483710"/>
    <w:rsid w:val="004854CA"/>
    <w:rsid w:val="004A5540"/>
    <w:rsid w:val="004B124D"/>
    <w:rsid w:val="004D1CAE"/>
    <w:rsid w:val="004D4A3F"/>
    <w:rsid w:val="004D7D1F"/>
    <w:rsid w:val="0051142B"/>
    <w:rsid w:val="00535F94"/>
    <w:rsid w:val="00550D13"/>
    <w:rsid w:val="00594734"/>
    <w:rsid w:val="005C32FF"/>
    <w:rsid w:val="005C364D"/>
    <w:rsid w:val="005D68FE"/>
    <w:rsid w:val="005F779E"/>
    <w:rsid w:val="00625686"/>
    <w:rsid w:val="006920FE"/>
    <w:rsid w:val="006C6108"/>
    <w:rsid w:val="006D5CF0"/>
    <w:rsid w:val="006D69C3"/>
    <w:rsid w:val="006F3FD4"/>
    <w:rsid w:val="0070161D"/>
    <w:rsid w:val="007157A2"/>
    <w:rsid w:val="00717156"/>
    <w:rsid w:val="00764AEF"/>
    <w:rsid w:val="007A6053"/>
    <w:rsid w:val="007D36D4"/>
    <w:rsid w:val="00811B9D"/>
    <w:rsid w:val="00866DB0"/>
    <w:rsid w:val="008735A1"/>
    <w:rsid w:val="00874F67"/>
    <w:rsid w:val="008D3F3A"/>
    <w:rsid w:val="0097780A"/>
    <w:rsid w:val="00983276"/>
    <w:rsid w:val="0098701F"/>
    <w:rsid w:val="009C1EE1"/>
    <w:rsid w:val="009C375C"/>
    <w:rsid w:val="009D5B7A"/>
    <w:rsid w:val="009F33BB"/>
    <w:rsid w:val="00A2067A"/>
    <w:rsid w:val="00A355A7"/>
    <w:rsid w:val="00A366F7"/>
    <w:rsid w:val="00A37EE4"/>
    <w:rsid w:val="00A70661"/>
    <w:rsid w:val="00A81517"/>
    <w:rsid w:val="00A96C58"/>
    <w:rsid w:val="00AB36AF"/>
    <w:rsid w:val="00AC4D66"/>
    <w:rsid w:val="00AD3461"/>
    <w:rsid w:val="00B34236"/>
    <w:rsid w:val="00B42A54"/>
    <w:rsid w:val="00B460C4"/>
    <w:rsid w:val="00B82E6F"/>
    <w:rsid w:val="00BA5F21"/>
    <w:rsid w:val="00BA5F78"/>
    <w:rsid w:val="00BA69D8"/>
    <w:rsid w:val="00BB1F04"/>
    <w:rsid w:val="00BB6DB2"/>
    <w:rsid w:val="00BD510A"/>
    <w:rsid w:val="00C03D31"/>
    <w:rsid w:val="00C36AFF"/>
    <w:rsid w:val="00C428FB"/>
    <w:rsid w:val="00CC0F4C"/>
    <w:rsid w:val="00CF1914"/>
    <w:rsid w:val="00D26EC9"/>
    <w:rsid w:val="00D51313"/>
    <w:rsid w:val="00D809CD"/>
    <w:rsid w:val="00D82B58"/>
    <w:rsid w:val="00D842E3"/>
    <w:rsid w:val="00D85A00"/>
    <w:rsid w:val="00DA7A8A"/>
    <w:rsid w:val="00DE1C45"/>
    <w:rsid w:val="00DE7A38"/>
    <w:rsid w:val="00DF7EB4"/>
    <w:rsid w:val="00E27AF0"/>
    <w:rsid w:val="00E33F7D"/>
    <w:rsid w:val="00EB10E5"/>
    <w:rsid w:val="00EB305D"/>
    <w:rsid w:val="00EC0D93"/>
    <w:rsid w:val="00EF130B"/>
    <w:rsid w:val="00F13503"/>
    <w:rsid w:val="00F34C29"/>
    <w:rsid w:val="00F66CC8"/>
    <w:rsid w:val="00F811AC"/>
    <w:rsid w:val="00FC087A"/>
    <w:rsid w:val="05D22F5D"/>
    <w:rsid w:val="11F50C4C"/>
    <w:rsid w:val="254B5F0A"/>
    <w:rsid w:val="47F54F92"/>
    <w:rsid w:val="4F6E4FC0"/>
    <w:rsid w:val="60F72B7F"/>
    <w:rsid w:val="6AEF4DC1"/>
    <w:rsid w:val="6E4D3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heme="minorHAnsi" w:hAnsiTheme="minorHAnsi" w:eastAsiaTheme="minorEastAsia" w:cstheme="minorBidi"/>
      <w:kern w:val="2"/>
      <w:sz w:val="28"/>
      <w:szCs w:val="22"/>
      <w:lang w:val="en-US" w:eastAsia="zh-CN" w:bidi="ar-SA"/>
    </w:rPr>
  </w:style>
  <w:style w:type="paragraph" w:styleId="2">
    <w:name w:val="heading 1"/>
    <w:basedOn w:val="1"/>
    <w:next w:val="1"/>
    <w:link w:val="22"/>
    <w:qFormat/>
    <w:uiPriority w:val="9"/>
    <w:pPr>
      <w:keepNext/>
      <w:keepLines/>
      <w:spacing w:line="578" w:lineRule="auto"/>
      <w:outlineLvl w:val="0"/>
    </w:pPr>
    <w:rPr>
      <w:b/>
      <w:bCs/>
      <w:kern w:val="44"/>
      <w:szCs w:val="44"/>
    </w:rPr>
  </w:style>
  <w:style w:type="paragraph" w:styleId="3">
    <w:name w:val="heading 2"/>
    <w:basedOn w:val="1"/>
    <w:next w:val="1"/>
    <w:link w:val="23"/>
    <w:unhideWhenUsed/>
    <w:qFormat/>
    <w:uiPriority w:val="9"/>
    <w:pPr>
      <w:keepNext/>
      <w:keepLines/>
      <w:spacing w:line="415" w:lineRule="auto"/>
      <w:ind w:firstLine="150" w:firstLineChars="150"/>
      <w:outlineLvl w:val="1"/>
    </w:pPr>
    <w:rPr>
      <w:rFonts w:asciiTheme="majorHAnsi" w:hAnsiTheme="majorHAnsi" w:eastAsiaTheme="majorEastAsia" w:cstheme="majorBidi"/>
      <w:b/>
      <w:bCs/>
      <w:szCs w:val="32"/>
    </w:rPr>
  </w:style>
  <w:style w:type="paragraph" w:styleId="4">
    <w:name w:val="heading 3"/>
    <w:basedOn w:val="1"/>
    <w:next w:val="1"/>
    <w:link w:val="25"/>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680"/>
      <w:jc w:val="left"/>
    </w:pPr>
    <w:rPr>
      <w:rFonts w:cstheme="minorHAnsi"/>
      <w:sz w:val="18"/>
      <w:szCs w:val="18"/>
    </w:rPr>
  </w:style>
  <w:style w:type="paragraph" w:styleId="6">
    <w:name w:val="toc 5"/>
    <w:basedOn w:val="1"/>
    <w:next w:val="1"/>
    <w:unhideWhenUsed/>
    <w:qFormat/>
    <w:uiPriority w:val="39"/>
    <w:pPr>
      <w:ind w:left="1120"/>
      <w:jc w:val="left"/>
    </w:pPr>
    <w:rPr>
      <w:rFonts w:cstheme="minorHAnsi"/>
      <w:sz w:val="18"/>
      <w:szCs w:val="18"/>
    </w:rPr>
  </w:style>
  <w:style w:type="paragraph" w:styleId="7">
    <w:name w:val="toc 3"/>
    <w:basedOn w:val="1"/>
    <w:next w:val="1"/>
    <w:unhideWhenUsed/>
    <w:qFormat/>
    <w:uiPriority w:val="39"/>
    <w:pPr>
      <w:ind w:left="560"/>
      <w:jc w:val="left"/>
    </w:pPr>
    <w:rPr>
      <w:rFonts w:cstheme="minorHAnsi"/>
      <w:i/>
      <w:iCs/>
      <w:sz w:val="20"/>
      <w:szCs w:val="20"/>
    </w:rPr>
  </w:style>
  <w:style w:type="paragraph" w:styleId="8">
    <w:name w:val="toc 8"/>
    <w:basedOn w:val="1"/>
    <w:next w:val="1"/>
    <w:unhideWhenUsed/>
    <w:qFormat/>
    <w:uiPriority w:val="39"/>
    <w:pPr>
      <w:ind w:left="1960"/>
      <w:jc w:val="left"/>
    </w:pPr>
    <w:rPr>
      <w:rFonts w:cstheme="minorHAnsi"/>
      <w:sz w:val="18"/>
      <w:szCs w:val="18"/>
    </w:rPr>
  </w:style>
  <w:style w:type="paragraph" w:styleId="9">
    <w:name w:val="Balloon Text"/>
    <w:basedOn w:val="1"/>
    <w:link w:val="28"/>
    <w:semiHidden/>
    <w:unhideWhenUsed/>
    <w:qFormat/>
    <w:uiPriority w:val="99"/>
    <w:rPr>
      <w:sz w:val="18"/>
      <w:szCs w:val="18"/>
    </w:rPr>
  </w:style>
  <w:style w:type="paragraph" w:styleId="10">
    <w:name w:val="footer"/>
    <w:basedOn w:val="1"/>
    <w:link w:val="27"/>
    <w:unhideWhenUsed/>
    <w:qFormat/>
    <w:uiPriority w:val="99"/>
    <w:pPr>
      <w:tabs>
        <w:tab w:val="center" w:pos="4153"/>
        <w:tab w:val="right" w:pos="8306"/>
      </w:tabs>
      <w:snapToGrid w:val="0"/>
      <w:jc w:val="left"/>
    </w:pPr>
    <w:rPr>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tabs>
        <w:tab w:val="right" w:leader="middleDot" w:pos="9736"/>
      </w:tabs>
      <w:spacing w:before="120" w:after="120"/>
      <w:ind w:firstLine="482"/>
      <w:jc w:val="center"/>
    </w:pPr>
    <w:rPr>
      <w:rFonts w:cstheme="minorHAnsi"/>
      <w:b/>
      <w:bCs/>
      <w:caps/>
      <w:sz w:val="24"/>
      <w:szCs w:val="20"/>
    </w:rPr>
  </w:style>
  <w:style w:type="paragraph" w:styleId="13">
    <w:name w:val="toc 4"/>
    <w:basedOn w:val="1"/>
    <w:next w:val="1"/>
    <w:unhideWhenUsed/>
    <w:qFormat/>
    <w:uiPriority w:val="39"/>
    <w:pPr>
      <w:ind w:left="840"/>
      <w:jc w:val="left"/>
    </w:pPr>
    <w:rPr>
      <w:rFonts w:cstheme="minorHAnsi"/>
      <w:sz w:val="18"/>
      <w:szCs w:val="18"/>
    </w:rPr>
  </w:style>
  <w:style w:type="paragraph" w:styleId="14">
    <w:name w:val="Subtitle"/>
    <w:basedOn w:val="1"/>
    <w:next w:val="1"/>
    <w:link w:val="24"/>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5">
    <w:name w:val="toc 6"/>
    <w:basedOn w:val="1"/>
    <w:next w:val="1"/>
    <w:unhideWhenUsed/>
    <w:qFormat/>
    <w:uiPriority w:val="39"/>
    <w:pPr>
      <w:ind w:left="1400"/>
      <w:jc w:val="left"/>
    </w:pPr>
    <w:rPr>
      <w:rFonts w:cstheme="minorHAnsi"/>
      <w:sz w:val="18"/>
      <w:szCs w:val="18"/>
    </w:rPr>
  </w:style>
  <w:style w:type="paragraph" w:styleId="16">
    <w:name w:val="toc 2"/>
    <w:basedOn w:val="1"/>
    <w:next w:val="1"/>
    <w:unhideWhenUsed/>
    <w:qFormat/>
    <w:uiPriority w:val="39"/>
    <w:pPr>
      <w:ind w:left="280"/>
      <w:jc w:val="left"/>
    </w:pPr>
    <w:rPr>
      <w:rFonts w:cstheme="minorHAnsi"/>
      <w:smallCaps/>
      <w:sz w:val="20"/>
      <w:szCs w:val="20"/>
    </w:rPr>
  </w:style>
  <w:style w:type="paragraph" w:styleId="17">
    <w:name w:val="toc 9"/>
    <w:basedOn w:val="1"/>
    <w:next w:val="1"/>
    <w:unhideWhenUsed/>
    <w:qFormat/>
    <w:uiPriority w:val="39"/>
    <w:pPr>
      <w:ind w:left="2240"/>
      <w:jc w:val="left"/>
    </w:pPr>
    <w:rPr>
      <w:rFonts w:cstheme="minorHAnsi"/>
      <w:sz w:val="18"/>
      <w:szCs w:val="18"/>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unhideWhenUsed/>
    <w:qFormat/>
    <w:uiPriority w:val="99"/>
    <w:rPr>
      <w:color w:val="0000FF" w:themeColor="hyperlink"/>
      <w:u w:val="single"/>
      <w14:textFill>
        <w14:solidFill>
          <w14:schemeClr w14:val="hlink"/>
        </w14:solidFill>
      </w14:textFill>
    </w:rPr>
  </w:style>
  <w:style w:type="character" w:customStyle="1" w:styleId="22">
    <w:name w:val="标题 1 Char"/>
    <w:basedOn w:val="20"/>
    <w:link w:val="2"/>
    <w:qFormat/>
    <w:uiPriority w:val="9"/>
    <w:rPr>
      <w:b/>
      <w:bCs/>
      <w:kern w:val="44"/>
      <w:sz w:val="28"/>
      <w:szCs w:val="44"/>
    </w:rPr>
  </w:style>
  <w:style w:type="character" w:customStyle="1" w:styleId="23">
    <w:name w:val="标题 2 Char"/>
    <w:basedOn w:val="20"/>
    <w:link w:val="3"/>
    <w:qFormat/>
    <w:uiPriority w:val="9"/>
    <w:rPr>
      <w:rFonts w:asciiTheme="majorHAnsi" w:hAnsiTheme="majorHAnsi" w:eastAsiaTheme="majorEastAsia" w:cstheme="majorBidi"/>
      <w:b/>
      <w:bCs/>
      <w:sz w:val="28"/>
      <w:szCs w:val="32"/>
    </w:rPr>
  </w:style>
  <w:style w:type="character" w:customStyle="1" w:styleId="24">
    <w:name w:val="副标题 Char"/>
    <w:basedOn w:val="20"/>
    <w:link w:val="14"/>
    <w:qFormat/>
    <w:uiPriority w:val="11"/>
    <w:rPr>
      <w:rFonts w:eastAsia="宋体" w:asciiTheme="majorHAnsi" w:hAnsiTheme="majorHAnsi" w:cstheme="majorBidi"/>
      <w:b/>
      <w:bCs/>
      <w:kern w:val="28"/>
      <w:sz w:val="32"/>
      <w:szCs w:val="32"/>
    </w:rPr>
  </w:style>
  <w:style w:type="character" w:customStyle="1" w:styleId="25">
    <w:name w:val="标题 3 Char"/>
    <w:basedOn w:val="20"/>
    <w:link w:val="4"/>
    <w:uiPriority w:val="9"/>
    <w:rPr>
      <w:b/>
      <w:bCs/>
      <w:sz w:val="32"/>
      <w:szCs w:val="32"/>
    </w:rPr>
  </w:style>
  <w:style w:type="character" w:customStyle="1" w:styleId="26">
    <w:name w:val="页眉 Char"/>
    <w:basedOn w:val="20"/>
    <w:link w:val="11"/>
    <w:qFormat/>
    <w:uiPriority w:val="99"/>
    <w:rPr>
      <w:sz w:val="18"/>
      <w:szCs w:val="18"/>
    </w:rPr>
  </w:style>
  <w:style w:type="character" w:customStyle="1" w:styleId="27">
    <w:name w:val="页脚 Char"/>
    <w:basedOn w:val="20"/>
    <w:link w:val="10"/>
    <w:qFormat/>
    <w:uiPriority w:val="99"/>
    <w:rPr>
      <w:sz w:val="18"/>
      <w:szCs w:val="18"/>
    </w:rPr>
  </w:style>
  <w:style w:type="character" w:customStyle="1" w:styleId="28">
    <w:name w:val="批注框文本 Char"/>
    <w:basedOn w:val="20"/>
    <w:link w:val="9"/>
    <w:semiHidden/>
    <w:qFormat/>
    <w:uiPriority w:val="99"/>
    <w:rPr>
      <w:sz w:val="18"/>
      <w:szCs w:val="18"/>
    </w:rPr>
  </w:style>
  <w:style w:type="paragraph" w:styleId="29">
    <w:name w:val="List Paragraph"/>
    <w:basedOn w:val="1"/>
    <w:qFormat/>
    <w:uiPriority w:val="34"/>
    <w:pPr>
      <w:ind w:firstLine="420"/>
    </w:pPr>
    <w:rPr>
      <w:rFonts w:ascii="Calibri" w:hAnsi="Calibri" w:eastAsia="宋体" w:cs="黑体"/>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D25ED5-4344-4EE8-831E-75A2738A875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944</Words>
  <Characters>5387</Characters>
  <Lines>44</Lines>
  <Paragraphs>12</Paragraphs>
  <TotalTime>18</TotalTime>
  <ScaleCrop>false</ScaleCrop>
  <LinksUpToDate>false</LinksUpToDate>
  <CharactersWithSpaces>6319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2018-01-10T06:15:00Z</dcterms:created>
  <dc:creator>Administrator</dc:creator>
  <cp:lastModifiedBy>筱筱</cp:lastModifiedBy>
  <cp:lastPrinted>2019-02-27T06:21:00Z</cp:lastPrinted>
  <dcterms:modified xsi:type="dcterms:W3CDTF">2020-12-30T06:47:46Z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